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66B96">
      <w:pPr>
        <w:widowControl/>
        <w:jc w:val="center"/>
        <w:rPr>
          <w:b/>
          <w:color w:val="000000" w:themeColor="text1"/>
          <w:kern w:val="0"/>
          <w:sz w:val="44"/>
          <w:szCs w:val="44"/>
          <w14:textFill>
            <w14:solidFill>
              <w14:schemeClr w14:val="tx1"/>
            </w14:solidFill>
          </w14:textFill>
        </w:rPr>
      </w:pPr>
    </w:p>
    <w:p w14:paraId="3615B798">
      <w:pPr>
        <w:widowControl/>
        <w:jc w:val="center"/>
        <w:rPr>
          <w:b/>
          <w:color w:val="000000" w:themeColor="text1"/>
          <w:kern w:val="0"/>
          <w:sz w:val="44"/>
          <w:szCs w:val="44"/>
          <w14:textFill>
            <w14:solidFill>
              <w14:schemeClr w14:val="tx1"/>
            </w14:solidFill>
          </w14:textFill>
        </w:rPr>
      </w:pPr>
    </w:p>
    <w:p w14:paraId="6723026F">
      <w:pPr>
        <w:rPr>
          <w:color w:val="000000" w:themeColor="text1"/>
          <w14:textFill>
            <w14:solidFill>
              <w14:schemeClr w14:val="tx1"/>
            </w14:solidFill>
          </w14:textFill>
        </w:rPr>
      </w:pPr>
    </w:p>
    <w:p w14:paraId="4ED79072">
      <w:pPr>
        <w:widowControl/>
        <w:jc w:val="center"/>
        <w:rPr>
          <w:b/>
          <w:color w:val="000000" w:themeColor="text1"/>
          <w:kern w:val="0"/>
          <w:sz w:val="44"/>
          <w:szCs w:val="44"/>
          <w14:textFill>
            <w14:solidFill>
              <w14:schemeClr w14:val="tx1"/>
            </w14:solidFill>
          </w14:textFill>
        </w:rPr>
      </w:pPr>
    </w:p>
    <w:p w14:paraId="747F4F11">
      <w:pPr>
        <w:widowControl/>
        <w:jc w:val="center"/>
        <w:rPr>
          <w:rFonts w:hint="eastAsia"/>
          <w:b/>
          <w:color w:val="auto"/>
          <w:kern w:val="0"/>
          <w:sz w:val="44"/>
          <w:szCs w:val="44"/>
          <w:highlight w:val="none"/>
          <w:lang w:eastAsia="zh-CN"/>
        </w:rPr>
      </w:pPr>
      <w:r>
        <w:rPr>
          <w:rFonts w:hint="eastAsia"/>
          <w:b/>
          <w:color w:val="auto"/>
          <w:kern w:val="0"/>
          <w:sz w:val="44"/>
          <w:szCs w:val="44"/>
          <w:highlight w:val="none"/>
          <w:lang w:eastAsia="zh-CN"/>
        </w:rPr>
        <w:t>水联江西管道装备有限公司年产20万吨螺旋管50万涂塑项目（一期）</w:t>
      </w:r>
    </w:p>
    <w:p w14:paraId="08ED44A1">
      <w:pPr>
        <w:jc w:val="center"/>
        <w:rPr>
          <w:rFonts w:hint="eastAsia"/>
          <w:b/>
          <w:color w:val="000000" w:themeColor="text1"/>
          <w:kern w:val="0"/>
          <w:sz w:val="44"/>
          <w:szCs w:val="44"/>
          <w14:textFill>
            <w14:solidFill>
              <w14:schemeClr w14:val="tx1"/>
            </w14:solidFill>
          </w14:textFill>
        </w:rPr>
      </w:pPr>
      <w:r>
        <w:rPr>
          <w:rFonts w:hint="eastAsia"/>
          <w:b/>
          <w:color w:val="000000" w:themeColor="text1"/>
          <w:kern w:val="0"/>
          <w:sz w:val="44"/>
          <w:szCs w:val="44"/>
          <w14:textFill>
            <w14:solidFill>
              <w14:schemeClr w14:val="tx1"/>
            </w14:solidFill>
          </w14:textFill>
        </w:rPr>
        <w:t>竣工环境保护验收监测报告表</w:t>
      </w:r>
    </w:p>
    <w:p w14:paraId="55C7D239">
      <w:pPr>
        <w:jc w:val="center"/>
        <w:rPr>
          <w:b/>
          <w:color w:val="000000" w:themeColor="text1"/>
          <w:sz w:val="28"/>
          <w:szCs w:val="28"/>
          <w14:textFill>
            <w14:solidFill>
              <w14:schemeClr w14:val="tx1"/>
            </w14:solidFill>
          </w14:textFill>
        </w:rPr>
      </w:pPr>
    </w:p>
    <w:p w14:paraId="7F4857CA">
      <w:pPr>
        <w:jc w:val="center"/>
        <w:rPr>
          <w:b/>
          <w:color w:val="000000" w:themeColor="text1"/>
          <w:sz w:val="28"/>
          <w:szCs w:val="28"/>
          <w14:textFill>
            <w14:solidFill>
              <w14:schemeClr w14:val="tx1"/>
            </w14:solidFill>
          </w14:textFill>
        </w:rPr>
      </w:pPr>
    </w:p>
    <w:p w14:paraId="44CDC48F">
      <w:pPr>
        <w:jc w:val="center"/>
        <w:rPr>
          <w:color w:val="000000" w:themeColor="text1"/>
          <w14:textFill>
            <w14:solidFill>
              <w14:schemeClr w14:val="tx1"/>
            </w14:solidFill>
          </w14:textFill>
        </w:rPr>
      </w:pPr>
    </w:p>
    <w:p w14:paraId="08D94CBB">
      <w:pPr>
        <w:jc w:val="center"/>
        <w:rPr>
          <w:b/>
          <w:color w:val="000000" w:themeColor="text1"/>
          <w:sz w:val="28"/>
          <w:szCs w:val="28"/>
          <w14:textFill>
            <w14:solidFill>
              <w14:schemeClr w14:val="tx1"/>
            </w14:solidFill>
          </w14:textFill>
        </w:rPr>
      </w:pPr>
    </w:p>
    <w:p w14:paraId="0685151E">
      <w:pPr>
        <w:jc w:val="center"/>
        <w:rPr>
          <w:b/>
          <w:color w:val="000000" w:themeColor="text1"/>
          <w:sz w:val="28"/>
          <w:szCs w:val="28"/>
          <w14:textFill>
            <w14:solidFill>
              <w14:schemeClr w14:val="tx1"/>
            </w14:solidFill>
          </w14:textFill>
        </w:rPr>
      </w:pPr>
    </w:p>
    <w:p w14:paraId="2A7B7731">
      <w:pPr>
        <w:jc w:val="center"/>
        <w:rPr>
          <w:b/>
          <w:color w:val="000000" w:themeColor="text1"/>
          <w:sz w:val="28"/>
          <w:szCs w:val="28"/>
          <w14:textFill>
            <w14:solidFill>
              <w14:schemeClr w14:val="tx1"/>
            </w14:solidFill>
          </w14:textFill>
        </w:rPr>
      </w:pPr>
    </w:p>
    <w:p w14:paraId="67400C18">
      <w:pPr>
        <w:jc w:val="center"/>
        <w:rPr>
          <w:b/>
          <w:color w:val="000000" w:themeColor="text1"/>
          <w:sz w:val="28"/>
          <w:szCs w:val="28"/>
          <w14:textFill>
            <w14:solidFill>
              <w14:schemeClr w14:val="tx1"/>
            </w14:solidFill>
          </w14:textFill>
        </w:rPr>
      </w:pPr>
    </w:p>
    <w:p w14:paraId="7FF8A704">
      <w:pPr>
        <w:jc w:val="center"/>
        <w:rPr>
          <w:b/>
          <w:color w:val="000000" w:themeColor="text1"/>
          <w:sz w:val="28"/>
          <w:szCs w:val="28"/>
          <w14:textFill>
            <w14:solidFill>
              <w14:schemeClr w14:val="tx1"/>
            </w14:solidFill>
          </w14:textFill>
        </w:rPr>
      </w:pPr>
    </w:p>
    <w:p w14:paraId="36CD87AE">
      <w:pPr>
        <w:pStyle w:val="16"/>
        <w:rPr>
          <w:b/>
          <w:color w:val="000000" w:themeColor="text1"/>
          <w:sz w:val="28"/>
          <w:szCs w:val="28"/>
          <w14:textFill>
            <w14:solidFill>
              <w14:schemeClr w14:val="tx1"/>
            </w14:solidFill>
          </w14:textFill>
        </w:rPr>
      </w:pPr>
    </w:p>
    <w:p w14:paraId="6BE1B2FC">
      <w:pPr>
        <w:pStyle w:val="16"/>
        <w:rPr>
          <w:b/>
          <w:color w:val="000000" w:themeColor="text1"/>
          <w:sz w:val="28"/>
          <w:szCs w:val="28"/>
          <w14:textFill>
            <w14:solidFill>
              <w14:schemeClr w14:val="tx1"/>
            </w14:solidFill>
          </w14:textFill>
        </w:rPr>
      </w:pPr>
    </w:p>
    <w:p w14:paraId="6F50EB36">
      <w:pPr>
        <w:pStyle w:val="16"/>
        <w:rPr>
          <w:b/>
          <w:color w:val="000000" w:themeColor="text1"/>
          <w:sz w:val="28"/>
          <w:szCs w:val="28"/>
          <w14:textFill>
            <w14:solidFill>
              <w14:schemeClr w14:val="tx1"/>
            </w14:solidFill>
          </w14:textFill>
        </w:rPr>
      </w:pPr>
    </w:p>
    <w:p w14:paraId="0479C892">
      <w:pPr>
        <w:jc w:val="center"/>
        <w:rPr>
          <w:color w:val="000000" w:themeColor="text1"/>
          <w14:textFill>
            <w14:solidFill>
              <w14:schemeClr w14:val="tx1"/>
            </w14:solidFill>
          </w14:textFill>
        </w:rPr>
      </w:pPr>
    </w:p>
    <w:p w14:paraId="51F93919">
      <w:pPr>
        <w:ind w:firstLine="1960" w:firstLineChars="700"/>
        <w:rPr>
          <w:rFonts w:hint="eastAsia" w:asciiTheme="minorEastAsia" w:hAnsiTheme="minorEastAsia" w:eastAsiaTheme="minorEastAsia" w:cstheme="minorEastAsia"/>
          <w:color w:val="000000" w:themeColor="text1"/>
          <w:kern w:val="0"/>
          <w:sz w:val="28"/>
          <w:szCs w:val="28"/>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14:textFill>
            <w14:solidFill>
              <w14:schemeClr w14:val="tx1"/>
            </w14:solidFill>
          </w14:textFill>
        </w:rPr>
        <w:t>建设单位：</w:t>
      </w:r>
      <w:r>
        <w:rPr>
          <w:rFonts w:hint="eastAsia" w:asciiTheme="minorEastAsia" w:hAnsiTheme="minorEastAsia" w:eastAsiaTheme="minorEastAsia" w:cstheme="minorEastAsia"/>
          <w:color w:val="000000" w:themeColor="text1"/>
          <w:kern w:val="0"/>
          <w:sz w:val="28"/>
          <w:szCs w:val="28"/>
          <w:lang w:eastAsia="zh-CN"/>
          <w14:textFill>
            <w14:solidFill>
              <w14:schemeClr w14:val="tx1"/>
            </w14:solidFill>
          </w14:textFill>
        </w:rPr>
        <w:t>水联（江西）管道装备有限公司</w:t>
      </w:r>
    </w:p>
    <w:p w14:paraId="32979D42">
      <w:pPr>
        <w:ind w:firstLine="1960" w:firstLineChars="700"/>
        <w:rPr>
          <w:rFonts w:hint="eastAsia" w:asciiTheme="minorEastAsia" w:hAnsiTheme="minorEastAsia" w:eastAsiaTheme="minorEastAsia" w:cstheme="minorEastAsia"/>
          <w:color w:val="000000" w:themeColor="text1"/>
          <w:kern w:val="0"/>
          <w:sz w:val="28"/>
          <w:szCs w:val="28"/>
          <w:lang w:val="en-US" w:eastAsia="zh-CN"/>
          <w14:textFill>
            <w14:solidFill>
              <w14:schemeClr w14:val="tx1"/>
            </w14:solidFill>
          </w14:textFill>
        </w:rPr>
      </w:pPr>
    </w:p>
    <w:p w14:paraId="3DBCA793">
      <w:pPr>
        <w:jc w:val="center"/>
        <w:rPr>
          <w:rFonts w:eastAsiaTheme="minorEastAsia"/>
          <w:b/>
          <w:color w:val="000000" w:themeColor="text1"/>
          <w:sz w:val="28"/>
          <w:szCs w:val="28"/>
          <w14:textFill>
            <w14:solidFill>
              <w14:schemeClr w14:val="tx1"/>
            </w14:solidFill>
          </w14:textFill>
        </w:rPr>
      </w:pPr>
    </w:p>
    <w:p w14:paraId="799AD75C">
      <w:pPr>
        <w:widowControl/>
        <w:adjustRightInd w:val="0"/>
        <w:snapToGrid w:val="0"/>
        <w:spacing w:after="200"/>
        <w:jc w:val="center"/>
        <w:rPr>
          <w:rFonts w:eastAsiaTheme="minorEastAsia"/>
          <w:b/>
          <w:color w:val="000000" w:themeColor="text1"/>
          <w:kern w:val="0"/>
          <w:sz w:val="28"/>
          <w:szCs w:val="28"/>
          <w14:textFill>
            <w14:solidFill>
              <w14:schemeClr w14:val="tx1"/>
            </w14:solidFill>
          </w14:textFill>
        </w:rPr>
      </w:pPr>
      <w:r>
        <w:rPr>
          <w:rFonts w:eastAsiaTheme="minorEastAsia"/>
          <w:b/>
          <w:color w:val="000000" w:themeColor="text1"/>
          <w:kern w:val="0"/>
          <w:sz w:val="28"/>
          <w:szCs w:val="28"/>
          <w14:textFill>
            <w14:solidFill>
              <w14:schemeClr w14:val="tx1"/>
            </w14:solidFill>
          </w14:textFill>
        </w:rPr>
        <w:t>二</w:t>
      </w:r>
      <w:r>
        <w:rPr>
          <w:rFonts w:hint="eastAsia" w:eastAsiaTheme="minorEastAsia"/>
          <w:b/>
          <w:color w:val="000000" w:themeColor="text1"/>
          <w:kern w:val="0"/>
          <w:sz w:val="28"/>
          <w:szCs w:val="28"/>
          <w14:textFill>
            <w14:solidFill>
              <w14:schemeClr w14:val="tx1"/>
            </w14:solidFill>
          </w14:textFill>
        </w:rPr>
        <w:t>〇</w:t>
      </w:r>
      <w:r>
        <w:rPr>
          <w:rFonts w:eastAsiaTheme="minorEastAsia"/>
          <w:b/>
          <w:color w:val="000000" w:themeColor="text1"/>
          <w:kern w:val="0"/>
          <w:sz w:val="28"/>
          <w:szCs w:val="28"/>
          <w14:textFill>
            <w14:solidFill>
              <w14:schemeClr w14:val="tx1"/>
            </w14:solidFill>
          </w14:textFill>
        </w:rPr>
        <w:t>二</w:t>
      </w:r>
      <w:r>
        <w:rPr>
          <w:rFonts w:hint="eastAsia" w:eastAsiaTheme="minorEastAsia"/>
          <w:b/>
          <w:color w:val="000000" w:themeColor="text1"/>
          <w:kern w:val="0"/>
          <w:sz w:val="28"/>
          <w:szCs w:val="28"/>
          <w:lang w:eastAsia="zh-CN"/>
          <w14:textFill>
            <w14:solidFill>
              <w14:schemeClr w14:val="tx1"/>
            </w14:solidFill>
          </w14:textFill>
        </w:rPr>
        <w:t>六</w:t>
      </w:r>
      <w:r>
        <w:rPr>
          <w:rFonts w:eastAsiaTheme="minorEastAsia"/>
          <w:b/>
          <w:color w:val="000000" w:themeColor="text1"/>
          <w:kern w:val="0"/>
          <w:sz w:val="28"/>
          <w:szCs w:val="28"/>
          <w14:textFill>
            <w14:solidFill>
              <w14:schemeClr w14:val="tx1"/>
            </w14:solidFill>
          </w14:textFill>
        </w:rPr>
        <w:t>年</w:t>
      </w:r>
      <w:r>
        <w:rPr>
          <w:rFonts w:hint="eastAsia" w:eastAsiaTheme="minorEastAsia"/>
          <w:b/>
          <w:color w:val="000000" w:themeColor="text1"/>
          <w:kern w:val="0"/>
          <w:sz w:val="28"/>
          <w:szCs w:val="28"/>
          <w:lang w:eastAsia="zh-CN"/>
          <w14:textFill>
            <w14:solidFill>
              <w14:schemeClr w14:val="tx1"/>
            </w14:solidFill>
          </w14:textFill>
        </w:rPr>
        <w:t>六</w:t>
      </w:r>
      <w:r>
        <w:rPr>
          <w:rFonts w:eastAsiaTheme="minorEastAsia"/>
          <w:b/>
          <w:color w:val="000000" w:themeColor="text1"/>
          <w:kern w:val="0"/>
          <w:sz w:val="28"/>
          <w:szCs w:val="28"/>
          <w14:textFill>
            <w14:solidFill>
              <w14:schemeClr w14:val="tx1"/>
            </w14:solidFill>
          </w14:textFill>
        </w:rPr>
        <w:t>月</w:t>
      </w:r>
    </w:p>
    <w:p w14:paraId="275D1D0D">
      <w:pPr>
        <w:rPr>
          <w:color w:val="000000" w:themeColor="text1"/>
          <w14:textFill>
            <w14:solidFill>
              <w14:schemeClr w14:val="tx1"/>
            </w14:solidFill>
          </w14:textFill>
        </w:rPr>
        <w:sectPr>
          <w:headerReference r:id="rId3" w:type="default"/>
          <w:footerReference r:id="rId4" w:type="default"/>
          <w:footerReference r:id="rId5" w:type="even"/>
          <w:pgSz w:w="11907" w:h="16840"/>
          <w:pgMar w:top="1418" w:right="1418" w:bottom="1418" w:left="1418" w:header="851" w:footer="445" w:gutter="0"/>
          <w:pgBorders>
            <w:top w:val="none" w:sz="0" w:space="0"/>
            <w:left w:val="none" w:sz="0" w:space="0"/>
            <w:bottom w:val="none" w:sz="0" w:space="0"/>
            <w:right w:val="none" w:sz="0" w:space="0"/>
          </w:pgBorders>
          <w:cols w:space="720" w:num="1"/>
          <w:docGrid w:type="lines" w:linePitch="312" w:charSpace="0"/>
        </w:sectPr>
      </w:pPr>
      <w:r>
        <w:rPr>
          <w:color w:val="000000" w:themeColor="text1"/>
          <w14:textFill>
            <w14:solidFill>
              <w14:schemeClr w14:val="tx1"/>
            </w14:solidFill>
          </w14:textFill>
        </w:rPr>
        <w:br w:type="page"/>
      </w:r>
      <w:r>
        <w:rPr>
          <w:color w:val="000000" w:themeColor="text1"/>
          <w14:textFill>
            <w14:solidFill>
              <w14:schemeClr w14:val="tx1"/>
            </w14:solidFill>
          </w14:textFill>
        </w:rPr>
        <w:t xml:space="preserve">  </w:t>
      </w:r>
    </w:p>
    <w:p w14:paraId="0780D68C">
      <w:pPr>
        <w:rPr>
          <w:color w:val="000000" w:themeColor="text1"/>
          <w14:textFill>
            <w14:solidFill>
              <w14:schemeClr w14:val="tx1"/>
            </w14:solidFill>
          </w14:textFill>
        </w:rPr>
      </w:pPr>
    </w:p>
    <w:tbl>
      <w:tblPr>
        <w:tblStyle w:val="34"/>
        <w:tblW w:w="0" w:type="auto"/>
        <w:tblInd w:w="0" w:type="dxa"/>
        <w:tblLayout w:type="fixed"/>
        <w:tblCellMar>
          <w:top w:w="0" w:type="dxa"/>
          <w:left w:w="108" w:type="dxa"/>
          <w:bottom w:w="0" w:type="dxa"/>
          <w:right w:w="108" w:type="dxa"/>
        </w:tblCellMar>
      </w:tblPr>
      <w:tblGrid>
        <w:gridCol w:w="8107"/>
      </w:tblGrid>
      <w:tr w14:paraId="75AD27B7">
        <w:tblPrEx>
          <w:tblCellMar>
            <w:top w:w="0" w:type="dxa"/>
            <w:left w:w="108" w:type="dxa"/>
            <w:bottom w:w="0" w:type="dxa"/>
            <w:right w:w="108" w:type="dxa"/>
          </w:tblCellMar>
        </w:tblPrEx>
        <w:trPr>
          <w:trHeight w:val="23" w:hRule="atLeast"/>
        </w:trPr>
        <w:tc>
          <w:tcPr>
            <w:tcW w:w="8107" w:type="dxa"/>
            <w:shd w:val="clear" w:color="auto" w:fill="auto"/>
            <w:vAlign w:val="center"/>
          </w:tcPr>
          <w:p w14:paraId="1ABAEA1D">
            <w:pPr>
              <w:adjustRightInd/>
              <w:spacing w:line="360" w:lineRule="auto"/>
              <w:jc w:val="both"/>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
                <w:color w:val="000000" w:themeColor="text1"/>
                <w:spacing w:val="-20"/>
                <w:sz w:val="28"/>
                <w:szCs w:val="28"/>
                <w14:textFill>
                  <w14:solidFill>
                    <w14:schemeClr w14:val="tx1"/>
                  </w14:solidFill>
                </w14:textFill>
              </w:rPr>
              <w:t>建设单位法人代表</w:t>
            </w:r>
            <w:r>
              <w:rPr>
                <w:rFonts w:hint="eastAsia" w:ascii="仿宋" w:hAnsi="仿宋" w:eastAsia="仿宋" w:cs="仿宋"/>
                <w:b/>
                <w:color w:val="000000" w:themeColor="text1"/>
                <w:sz w:val="28"/>
                <w:szCs w:val="28"/>
                <w14:textFill>
                  <w14:solidFill>
                    <w14:schemeClr w14:val="tx1"/>
                  </w14:solidFill>
                </w14:textFill>
              </w:rPr>
              <w:t>：</w:t>
            </w:r>
            <w:r>
              <w:rPr>
                <w:rFonts w:hint="eastAsia" w:ascii="仿宋" w:hAnsi="仿宋" w:eastAsia="仿宋" w:cs="仿宋"/>
                <w:bCs/>
                <w:color w:val="000000" w:themeColor="text1"/>
                <w:sz w:val="28"/>
                <w:szCs w:val="28"/>
                <w14:textFill>
                  <w14:solidFill>
                    <w14:schemeClr w14:val="tx1"/>
                  </w14:solidFill>
                </w14:textFill>
              </w:rPr>
              <w:t xml:space="preserve">            （签字）</w:t>
            </w:r>
          </w:p>
        </w:tc>
      </w:tr>
      <w:tr w14:paraId="788E1E24">
        <w:tblPrEx>
          <w:tblCellMar>
            <w:top w:w="0" w:type="dxa"/>
            <w:left w:w="108" w:type="dxa"/>
            <w:bottom w:w="0" w:type="dxa"/>
            <w:right w:w="108" w:type="dxa"/>
          </w:tblCellMar>
        </w:tblPrEx>
        <w:trPr>
          <w:trHeight w:val="23" w:hRule="atLeast"/>
        </w:trPr>
        <w:tc>
          <w:tcPr>
            <w:tcW w:w="8107" w:type="dxa"/>
            <w:shd w:val="clear" w:color="auto" w:fill="auto"/>
            <w:vAlign w:val="center"/>
          </w:tcPr>
          <w:p w14:paraId="7C0DFAFE">
            <w:pPr>
              <w:adjustRightInd/>
              <w:spacing w:line="360" w:lineRule="auto"/>
              <w:jc w:val="both"/>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项 目 负 责 人：</w:t>
            </w:r>
          </w:p>
        </w:tc>
      </w:tr>
      <w:tr w14:paraId="2EDB7DCB">
        <w:tblPrEx>
          <w:tblCellMar>
            <w:top w:w="0" w:type="dxa"/>
            <w:left w:w="108" w:type="dxa"/>
            <w:bottom w:w="0" w:type="dxa"/>
            <w:right w:w="108" w:type="dxa"/>
          </w:tblCellMar>
        </w:tblPrEx>
        <w:trPr>
          <w:trHeight w:val="23" w:hRule="atLeast"/>
        </w:trPr>
        <w:tc>
          <w:tcPr>
            <w:tcW w:w="8107" w:type="dxa"/>
            <w:shd w:val="clear" w:color="auto" w:fill="auto"/>
            <w:vAlign w:val="center"/>
          </w:tcPr>
          <w:p w14:paraId="0E95DB9B">
            <w:pPr>
              <w:adjustRightInd/>
              <w:spacing w:line="360" w:lineRule="auto"/>
              <w:jc w:val="both"/>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填    表    人：</w:t>
            </w:r>
          </w:p>
        </w:tc>
      </w:tr>
    </w:tbl>
    <w:p w14:paraId="020C699C">
      <w:pPr>
        <w:jc w:val="left"/>
        <w:rPr>
          <w:rFonts w:ascii="仿宋_GB2312" w:eastAsia="仿宋_GB2312"/>
          <w:b/>
          <w:color w:val="000000" w:themeColor="text1"/>
          <w:w w:val="79"/>
          <w:sz w:val="28"/>
          <w:szCs w:val="28"/>
          <w14:textFill>
            <w14:solidFill>
              <w14:schemeClr w14:val="tx1"/>
            </w14:solidFill>
          </w14:textFill>
        </w:rPr>
      </w:pPr>
    </w:p>
    <w:p w14:paraId="3DFFAFB5">
      <w:pPr>
        <w:jc w:val="left"/>
        <w:rPr>
          <w:rFonts w:ascii="仿宋_GB2312" w:eastAsia="仿宋_GB2312"/>
          <w:b/>
          <w:color w:val="000000" w:themeColor="text1"/>
          <w:w w:val="79"/>
          <w:sz w:val="28"/>
          <w:szCs w:val="28"/>
          <w14:textFill>
            <w14:solidFill>
              <w14:schemeClr w14:val="tx1"/>
            </w14:solidFill>
          </w14:textFill>
        </w:rPr>
      </w:pPr>
    </w:p>
    <w:p w14:paraId="60536FC8">
      <w:pPr>
        <w:jc w:val="left"/>
        <w:rPr>
          <w:rFonts w:ascii="仿宋_GB2312" w:eastAsia="仿宋_GB2312"/>
          <w:b/>
          <w:color w:val="000000" w:themeColor="text1"/>
          <w:w w:val="79"/>
          <w:sz w:val="28"/>
          <w:szCs w:val="28"/>
          <w14:textFill>
            <w14:solidFill>
              <w14:schemeClr w14:val="tx1"/>
            </w14:solidFill>
          </w14:textFill>
        </w:rPr>
      </w:pPr>
    </w:p>
    <w:p w14:paraId="2C4E281C">
      <w:pPr>
        <w:jc w:val="left"/>
        <w:rPr>
          <w:rFonts w:ascii="仿宋_GB2312" w:eastAsia="仿宋_GB2312"/>
          <w:b/>
          <w:color w:val="000000" w:themeColor="text1"/>
          <w:w w:val="79"/>
          <w:sz w:val="28"/>
          <w:szCs w:val="28"/>
          <w14:textFill>
            <w14:solidFill>
              <w14:schemeClr w14:val="tx1"/>
            </w14:solidFill>
          </w14:textFill>
        </w:rPr>
      </w:pPr>
    </w:p>
    <w:p w14:paraId="0DBAEBA7">
      <w:pPr>
        <w:jc w:val="left"/>
        <w:rPr>
          <w:rFonts w:ascii="仿宋_GB2312" w:eastAsia="仿宋_GB2312"/>
          <w:b/>
          <w:color w:val="000000" w:themeColor="text1"/>
          <w:w w:val="79"/>
          <w:sz w:val="28"/>
          <w:szCs w:val="28"/>
          <w14:textFill>
            <w14:solidFill>
              <w14:schemeClr w14:val="tx1"/>
            </w14:solidFill>
          </w14:textFill>
        </w:rPr>
      </w:pPr>
    </w:p>
    <w:p w14:paraId="3A2944E4">
      <w:pPr>
        <w:jc w:val="left"/>
        <w:rPr>
          <w:rFonts w:ascii="仿宋_GB2312" w:eastAsia="仿宋_GB2312"/>
          <w:b/>
          <w:color w:val="000000" w:themeColor="text1"/>
          <w:w w:val="79"/>
          <w:sz w:val="28"/>
          <w:szCs w:val="28"/>
          <w14:textFill>
            <w14:solidFill>
              <w14:schemeClr w14:val="tx1"/>
            </w14:solidFill>
          </w14:textFill>
        </w:rPr>
      </w:pPr>
    </w:p>
    <w:p w14:paraId="2FC6D0BD">
      <w:pPr>
        <w:jc w:val="left"/>
        <w:rPr>
          <w:rFonts w:ascii="仿宋_GB2312" w:eastAsia="仿宋_GB2312"/>
          <w:b/>
          <w:color w:val="000000" w:themeColor="text1"/>
          <w:w w:val="79"/>
          <w:sz w:val="28"/>
          <w:szCs w:val="28"/>
          <w14:textFill>
            <w14:solidFill>
              <w14:schemeClr w14:val="tx1"/>
            </w14:solidFill>
          </w14:textFill>
        </w:rPr>
      </w:pPr>
    </w:p>
    <w:p w14:paraId="2F5CA0DA">
      <w:pPr>
        <w:rPr>
          <w:color w:val="000000" w:themeColor="text1"/>
          <w14:textFill>
            <w14:solidFill>
              <w14:schemeClr w14:val="tx1"/>
            </w14:solidFill>
          </w14:textFill>
        </w:rPr>
      </w:pPr>
    </w:p>
    <w:p w14:paraId="1CA5EDA1">
      <w:pPr>
        <w:jc w:val="left"/>
        <w:rPr>
          <w:rFonts w:ascii="仿宋_GB2312" w:eastAsia="仿宋_GB2312"/>
          <w:b/>
          <w:color w:val="000000" w:themeColor="text1"/>
          <w:w w:val="79"/>
          <w:sz w:val="28"/>
          <w:szCs w:val="28"/>
          <w14:textFill>
            <w14:solidFill>
              <w14:schemeClr w14:val="tx1"/>
            </w14:solidFill>
          </w14:textFill>
        </w:rPr>
      </w:pPr>
    </w:p>
    <w:p w14:paraId="182F98F2">
      <w:pPr>
        <w:jc w:val="left"/>
        <w:rPr>
          <w:rFonts w:ascii="仿宋_GB2312" w:eastAsia="仿宋_GB2312"/>
          <w:b/>
          <w:color w:val="000000" w:themeColor="text1"/>
          <w:w w:val="79"/>
          <w:sz w:val="28"/>
          <w:szCs w:val="28"/>
          <w14:textFill>
            <w14:solidFill>
              <w14:schemeClr w14:val="tx1"/>
            </w14:solidFill>
          </w14:textFill>
        </w:rPr>
      </w:pPr>
    </w:p>
    <w:p w14:paraId="4A76757D">
      <w:pPr>
        <w:jc w:val="left"/>
        <w:rPr>
          <w:rFonts w:ascii="仿宋_GB2312" w:eastAsia="仿宋_GB2312"/>
          <w:b/>
          <w:color w:val="000000" w:themeColor="text1"/>
          <w:w w:val="79"/>
          <w:sz w:val="28"/>
          <w:szCs w:val="28"/>
          <w14:textFill>
            <w14:solidFill>
              <w14:schemeClr w14:val="tx1"/>
            </w14:solidFill>
          </w14:textFill>
        </w:rPr>
      </w:pPr>
    </w:p>
    <w:p w14:paraId="47D7BE76">
      <w:pPr>
        <w:jc w:val="left"/>
        <w:rPr>
          <w:rFonts w:ascii="仿宋_GB2312" w:eastAsia="仿宋_GB2312"/>
          <w:b/>
          <w:color w:val="000000" w:themeColor="text1"/>
          <w:w w:val="79"/>
          <w:sz w:val="28"/>
          <w:szCs w:val="28"/>
          <w14:textFill>
            <w14:solidFill>
              <w14:schemeClr w14:val="tx1"/>
            </w14:solidFill>
          </w14:textFill>
        </w:rPr>
      </w:pPr>
    </w:p>
    <w:p w14:paraId="05051837">
      <w:pPr>
        <w:jc w:val="left"/>
        <w:rPr>
          <w:rFonts w:ascii="仿宋_GB2312" w:eastAsia="仿宋_GB2312"/>
          <w:b/>
          <w:color w:val="000000" w:themeColor="text1"/>
          <w:w w:val="79"/>
          <w:sz w:val="28"/>
          <w:szCs w:val="28"/>
          <w14:textFill>
            <w14:solidFill>
              <w14:schemeClr w14:val="tx1"/>
            </w14:solidFill>
          </w14:textFill>
        </w:rPr>
      </w:pPr>
    </w:p>
    <w:p w14:paraId="25D30002">
      <w:pPr>
        <w:jc w:val="left"/>
        <w:rPr>
          <w:rFonts w:ascii="仿宋_GB2312" w:eastAsia="仿宋_GB2312"/>
          <w:b/>
          <w:color w:val="000000" w:themeColor="text1"/>
          <w:w w:val="79"/>
          <w:sz w:val="28"/>
          <w:szCs w:val="28"/>
          <w14:textFill>
            <w14:solidFill>
              <w14:schemeClr w14:val="tx1"/>
            </w14:solidFill>
          </w14:textFill>
        </w:rPr>
      </w:pPr>
    </w:p>
    <w:p w14:paraId="50AC0C30">
      <w:pPr>
        <w:jc w:val="left"/>
        <w:rPr>
          <w:rFonts w:ascii="仿宋_GB2312" w:eastAsia="仿宋_GB2312"/>
          <w:b/>
          <w:color w:val="000000" w:themeColor="text1"/>
          <w:w w:val="79"/>
          <w:sz w:val="28"/>
          <w:szCs w:val="28"/>
          <w14:textFill>
            <w14:solidFill>
              <w14:schemeClr w14:val="tx1"/>
            </w14:solidFill>
          </w14:textFill>
        </w:rPr>
      </w:pPr>
    </w:p>
    <w:tbl>
      <w:tblPr>
        <w:tblStyle w:val="34"/>
        <w:tblW w:w="8815" w:type="dxa"/>
        <w:tblInd w:w="0" w:type="dxa"/>
        <w:tblLayout w:type="fixed"/>
        <w:tblCellMar>
          <w:top w:w="0" w:type="dxa"/>
          <w:left w:w="108" w:type="dxa"/>
          <w:bottom w:w="0" w:type="dxa"/>
          <w:right w:w="108" w:type="dxa"/>
        </w:tblCellMar>
      </w:tblPr>
      <w:tblGrid>
        <w:gridCol w:w="1555"/>
        <w:gridCol w:w="7260"/>
      </w:tblGrid>
      <w:tr w14:paraId="0DC26730">
        <w:tblPrEx>
          <w:tblCellMar>
            <w:top w:w="0" w:type="dxa"/>
            <w:left w:w="108" w:type="dxa"/>
            <w:bottom w:w="0" w:type="dxa"/>
            <w:right w:w="108" w:type="dxa"/>
          </w:tblCellMar>
        </w:tblPrEx>
        <w:trPr>
          <w:trHeight w:val="57" w:hRule="atLeast"/>
        </w:trPr>
        <w:tc>
          <w:tcPr>
            <w:tcW w:w="1555" w:type="dxa"/>
            <w:shd w:val="clear" w:color="auto" w:fill="auto"/>
            <w:vAlign w:val="center"/>
          </w:tcPr>
          <w:p w14:paraId="179E6106">
            <w:pPr>
              <w:spacing w:line="276" w:lineRule="auto"/>
              <w:jc w:val="center"/>
              <w:rPr>
                <w:rFonts w:ascii="宋体" w:hAnsi="宋体"/>
                <w:color w:val="auto"/>
                <w:sz w:val="28"/>
                <w:szCs w:val="24"/>
                <w:highlight w:val="none"/>
              </w:rPr>
            </w:pPr>
            <w:r>
              <w:rPr>
                <w:rFonts w:ascii="宋体" w:hAnsi="宋体"/>
                <w:color w:val="auto"/>
                <w:sz w:val="28"/>
                <w:szCs w:val="24"/>
                <w:highlight w:val="none"/>
              </w:rPr>
              <w:t>建设单位：</w:t>
            </w:r>
          </w:p>
        </w:tc>
        <w:tc>
          <w:tcPr>
            <w:tcW w:w="7260" w:type="dxa"/>
            <w:shd w:val="clear" w:color="auto" w:fill="auto"/>
            <w:vAlign w:val="center"/>
          </w:tcPr>
          <w:p w14:paraId="1EF1B980">
            <w:pPr>
              <w:spacing w:line="276" w:lineRule="auto"/>
              <w:rPr>
                <w:rFonts w:hint="eastAsia" w:eastAsia="宋体"/>
                <w:color w:val="auto"/>
                <w:sz w:val="28"/>
                <w:szCs w:val="24"/>
                <w:highlight w:val="none"/>
                <w:lang w:eastAsia="zh-CN"/>
              </w:rPr>
            </w:pPr>
            <w:r>
              <w:rPr>
                <w:rFonts w:hint="eastAsia"/>
                <w:color w:val="auto"/>
                <w:sz w:val="28"/>
                <w:szCs w:val="24"/>
                <w:highlight w:val="none"/>
                <w:lang w:eastAsia="zh-CN"/>
              </w:rPr>
              <w:t>水联（江西）管道装备有限公司</w:t>
            </w:r>
          </w:p>
        </w:tc>
      </w:tr>
      <w:tr w14:paraId="46C983FE">
        <w:tblPrEx>
          <w:tblCellMar>
            <w:top w:w="0" w:type="dxa"/>
            <w:left w:w="108" w:type="dxa"/>
            <w:bottom w:w="0" w:type="dxa"/>
            <w:right w:w="108" w:type="dxa"/>
          </w:tblCellMar>
        </w:tblPrEx>
        <w:trPr>
          <w:trHeight w:val="574" w:hRule="atLeast"/>
        </w:trPr>
        <w:tc>
          <w:tcPr>
            <w:tcW w:w="1555" w:type="dxa"/>
            <w:shd w:val="clear" w:color="auto" w:fill="auto"/>
            <w:vAlign w:val="center"/>
          </w:tcPr>
          <w:p w14:paraId="124B7582">
            <w:pPr>
              <w:spacing w:line="276" w:lineRule="auto"/>
              <w:jc w:val="center"/>
              <w:rPr>
                <w:rFonts w:hint="eastAsia" w:ascii="宋体" w:hAnsi="宋体" w:eastAsia="宋体"/>
                <w:color w:val="auto"/>
                <w:sz w:val="28"/>
                <w:szCs w:val="24"/>
                <w:highlight w:val="none"/>
                <w:lang w:eastAsia="zh-CN"/>
              </w:rPr>
            </w:pPr>
            <w:r>
              <w:rPr>
                <w:rFonts w:ascii="宋体" w:hAnsi="宋体"/>
                <w:color w:val="auto"/>
                <w:sz w:val="28"/>
                <w:szCs w:val="24"/>
                <w:highlight w:val="none"/>
              </w:rPr>
              <w:t>电    话</w:t>
            </w:r>
            <w:r>
              <w:rPr>
                <w:rFonts w:hint="eastAsia" w:ascii="宋体" w:hAnsi="宋体"/>
                <w:color w:val="auto"/>
                <w:sz w:val="28"/>
                <w:szCs w:val="24"/>
                <w:highlight w:val="none"/>
                <w:lang w:eastAsia="zh-CN"/>
              </w:rPr>
              <w:t>：</w:t>
            </w:r>
          </w:p>
        </w:tc>
        <w:tc>
          <w:tcPr>
            <w:tcW w:w="7260" w:type="dxa"/>
            <w:shd w:val="clear" w:color="auto" w:fill="auto"/>
            <w:vAlign w:val="center"/>
          </w:tcPr>
          <w:p w14:paraId="1626B922">
            <w:pPr>
              <w:spacing w:line="276" w:lineRule="auto"/>
              <w:rPr>
                <w:rFonts w:hint="default" w:eastAsia="宋体"/>
                <w:color w:val="auto"/>
                <w:sz w:val="28"/>
                <w:szCs w:val="24"/>
                <w:highlight w:val="none"/>
                <w:lang w:val="en-US" w:eastAsia="zh-CN"/>
              </w:rPr>
            </w:pPr>
            <w:r>
              <w:rPr>
                <w:rFonts w:hint="default" w:eastAsia="宋体"/>
                <w:color w:val="auto"/>
                <w:sz w:val="28"/>
                <w:szCs w:val="24"/>
                <w:highlight w:val="none"/>
                <w:lang w:val="en-US" w:eastAsia="zh-CN"/>
              </w:rPr>
              <w:t>18172853524</w:t>
            </w:r>
          </w:p>
        </w:tc>
      </w:tr>
      <w:tr w14:paraId="63D619CB">
        <w:tblPrEx>
          <w:tblCellMar>
            <w:top w:w="0" w:type="dxa"/>
            <w:left w:w="108" w:type="dxa"/>
            <w:bottom w:w="0" w:type="dxa"/>
            <w:right w:w="108" w:type="dxa"/>
          </w:tblCellMar>
        </w:tblPrEx>
        <w:trPr>
          <w:trHeight w:val="57" w:hRule="atLeast"/>
        </w:trPr>
        <w:tc>
          <w:tcPr>
            <w:tcW w:w="1555" w:type="dxa"/>
            <w:shd w:val="clear" w:color="auto" w:fill="auto"/>
            <w:vAlign w:val="center"/>
          </w:tcPr>
          <w:p w14:paraId="2CB7F6FE">
            <w:pPr>
              <w:spacing w:line="276" w:lineRule="auto"/>
              <w:jc w:val="center"/>
              <w:rPr>
                <w:rFonts w:hint="eastAsia" w:ascii="宋体" w:hAnsi="宋体" w:eastAsia="宋体"/>
                <w:color w:val="auto"/>
                <w:sz w:val="28"/>
                <w:szCs w:val="24"/>
                <w:highlight w:val="none"/>
                <w:lang w:eastAsia="zh-CN"/>
              </w:rPr>
            </w:pPr>
            <w:r>
              <w:rPr>
                <w:rFonts w:ascii="宋体" w:hAnsi="宋体"/>
                <w:color w:val="auto"/>
                <w:sz w:val="28"/>
                <w:szCs w:val="24"/>
                <w:highlight w:val="none"/>
              </w:rPr>
              <w:t>传    真</w:t>
            </w:r>
            <w:r>
              <w:rPr>
                <w:rFonts w:hint="eastAsia" w:ascii="宋体" w:hAnsi="宋体"/>
                <w:color w:val="auto"/>
                <w:sz w:val="28"/>
                <w:szCs w:val="24"/>
                <w:highlight w:val="none"/>
                <w:lang w:eastAsia="zh-CN"/>
              </w:rPr>
              <w:t>：</w:t>
            </w:r>
          </w:p>
        </w:tc>
        <w:tc>
          <w:tcPr>
            <w:tcW w:w="7260" w:type="dxa"/>
            <w:shd w:val="clear" w:color="auto" w:fill="auto"/>
            <w:vAlign w:val="center"/>
          </w:tcPr>
          <w:p w14:paraId="037B70C8">
            <w:pPr>
              <w:spacing w:line="276" w:lineRule="auto"/>
              <w:jc w:val="left"/>
              <w:rPr>
                <w:b/>
                <w:color w:val="auto"/>
                <w:sz w:val="28"/>
                <w:szCs w:val="24"/>
                <w:highlight w:val="none"/>
              </w:rPr>
            </w:pPr>
            <w:r>
              <w:rPr>
                <w:b/>
                <w:color w:val="auto"/>
                <w:sz w:val="28"/>
                <w:szCs w:val="24"/>
                <w:highlight w:val="none"/>
              </w:rPr>
              <w:t>/</w:t>
            </w:r>
          </w:p>
        </w:tc>
      </w:tr>
      <w:tr w14:paraId="3B0A9FD7">
        <w:tblPrEx>
          <w:tblCellMar>
            <w:top w:w="0" w:type="dxa"/>
            <w:left w:w="108" w:type="dxa"/>
            <w:bottom w:w="0" w:type="dxa"/>
            <w:right w:w="108" w:type="dxa"/>
          </w:tblCellMar>
        </w:tblPrEx>
        <w:trPr>
          <w:trHeight w:val="57" w:hRule="atLeast"/>
        </w:trPr>
        <w:tc>
          <w:tcPr>
            <w:tcW w:w="1555" w:type="dxa"/>
            <w:shd w:val="clear" w:color="auto" w:fill="auto"/>
            <w:vAlign w:val="center"/>
          </w:tcPr>
          <w:p w14:paraId="45D0CD6C">
            <w:pPr>
              <w:spacing w:line="276" w:lineRule="auto"/>
              <w:jc w:val="center"/>
              <w:rPr>
                <w:rFonts w:hint="eastAsia" w:ascii="宋体" w:hAnsi="宋体" w:eastAsia="宋体"/>
                <w:color w:val="auto"/>
                <w:sz w:val="28"/>
                <w:szCs w:val="24"/>
                <w:highlight w:val="none"/>
                <w:lang w:eastAsia="zh-CN"/>
              </w:rPr>
            </w:pPr>
            <w:r>
              <w:rPr>
                <w:rFonts w:ascii="宋体" w:hAnsi="宋体"/>
                <w:color w:val="auto"/>
                <w:sz w:val="28"/>
                <w:szCs w:val="24"/>
                <w:highlight w:val="none"/>
              </w:rPr>
              <w:t>地    址</w:t>
            </w:r>
            <w:r>
              <w:rPr>
                <w:rFonts w:hint="eastAsia" w:ascii="宋体" w:hAnsi="宋体"/>
                <w:color w:val="auto"/>
                <w:sz w:val="28"/>
                <w:szCs w:val="24"/>
                <w:highlight w:val="none"/>
                <w:lang w:eastAsia="zh-CN"/>
              </w:rPr>
              <w:t>：</w:t>
            </w:r>
          </w:p>
        </w:tc>
        <w:tc>
          <w:tcPr>
            <w:tcW w:w="7260" w:type="dxa"/>
            <w:shd w:val="clear" w:color="auto" w:fill="auto"/>
            <w:vAlign w:val="center"/>
          </w:tcPr>
          <w:p w14:paraId="0B1A0A57">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eastAsia="宋体"/>
                <w:color w:val="auto"/>
                <w:sz w:val="28"/>
                <w:szCs w:val="24"/>
                <w:highlight w:val="none"/>
                <w:lang w:eastAsia="zh-CN"/>
              </w:rPr>
            </w:pPr>
            <w:r>
              <w:rPr>
                <w:rFonts w:hint="eastAsia" w:eastAsia="宋体"/>
                <w:color w:val="auto"/>
                <w:sz w:val="28"/>
                <w:szCs w:val="24"/>
                <w:highlight w:val="none"/>
                <w:lang w:eastAsia="zh-CN"/>
              </w:rPr>
              <w:t>江西省南昌市南昌县八一乡胡华村雪芹路</w:t>
            </w:r>
            <w:r>
              <w:rPr>
                <w:rFonts w:hint="eastAsia" w:eastAsia="宋体"/>
                <w:color w:val="auto"/>
                <w:sz w:val="28"/>
                <w:szCs w:val="24"/>
                <w:highlight w:val="none"/>
                <w:lang w:val="en-US" w:eastAsia="zh-CN"/>
              </w:rPr>
              <w:t>67号</w:t>
            </w:r>
          </w:p>
        </w:tc>
      </w:tr>
    </w:tbl>
    <w:p w14:paraId="76841C02">
      <w:pPr>
        <w:spacing w:line="360" w:lineRule="auto"/>
        <w:jc w:val="center"/>
        <w:rPr>
          <w:rFonts w:ascii="黑体" w:eastAsia="黑体"/>
          <w:b/>
          <w:color w:val="000000" w:themeColor="text1"/>
          <w:sz w:val="32"/>
          <w:szCs w:val="32"/>
          <w14:textFill>
            <w14:solidFill>
              <w14:schemeClr w14:val="tx1"/>
            </w14:solidFill>
          </w14:textFill>
        </w:rPr>
        <w:sectPr>
          <w:pgSz w:w="11907" w:h="16840"/>
          <w:pgMar w:top="1418" w:right="1418" w:bottom="1418" w:left="1418" w:header="851" w:footer="445" w:gutter="0"/>
          <w:pgBorders>
            <w:top w:val="none" w:sz="0" w:space="0"/>
            <w:left w:val="none" w:sz="0" w:space="0"/>
            <w:bottom w:val="none" w:sz="0" w:space="0"/>
            <w:right w:val="none" w:sz="0" w:space="0"/>
          </w:pgBorders>
          <w:cols w:space="720" w:num="1"/>
          <w:docGrid w:type="lines" w:linePitch="312" w:charSpace="0"/>
        </w:sectPr>
      </w:pPr>
    </w:p>
    <w:p w14:paraId="3222A568">
      <w:pPr>
        <w:pStyle w:val="40"/>
        <w:rPr>
          <w:color w:val="000000" w:themeColor="text1"/>
          <w14:textFill>
            <w14:solidFill>
              <w14:schemeClr w14:val="tx1"/>
            </w14:solidFill>
          </w14:textFill>
        </w:rPr>
      </w:pPr>
    </w:p>
    <w:p w14:paraId="6B41A433">
      <w:pPr>
        <w:spacing w:line="600" w:lineRule="exact"/>
        <w:rPr>
          <w:color w:val="000000" w:themeColor="text1"/>
          <w:szCs w:val="28"/>
          <w14:textFill>
            <w14:solidFill>
              <w14:schemeClr w14:val="tx1"/>
            </w14:solidFill>
          </w14:textFill>
        </w:rPr>
      </w:pPr>
      <w:r>
        <w:rPr>
          <w:color w:val="000000" w:themeColor="text1"/>
          <w:szCs w:val="28"/>
          <w14:textFill>
            <w14:solidFill>
              <w14:schemeClr w14:val="tx1"/>
            </w14:solidFill>
          </w14:textFill>
        </w:rPr>
        <w:br w:type="page"/>
      </w:r>
    </w:p>
    <w:p w14:paraId="073F9EF9">
      <w:pPr>
        <w:jc w:val="center"/>
        <w:rPr>
          <w:b/>
          <w:color w:val="000000" w:themeColor="text1"/>
          <w:sz w:val="44"/>
          <w:szCs w:val="32"/>
          <w14:textFill>
            <w14:solidFill>
              <w14:schemeClr w14:val="tx1"/>
            </w14:solidFill>
          </w14:textFill>
        </w:rPr>
      </w:pPr>
      <w:r>
        <w:rPr>
          <w:rFonts w:hint="eastAsia"/>
          <w:b/>
          <w:color w:val="000000" w:themeColor="text1"/>
          <w:sz w:val="44"/>
          <w:szCs w:val="32"/>
          <w14:textFill>
            <w14:solidFill>
              <w14:schemeClr w14:val="tx1"/>
            </w14:solidFill>
          </w14:textFill>
        </w:rPr>
        <w:t>目  录</w:t>
      </w:r>
    </w:p>
    <w:p w14:paraId="716E3A6C">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rFonts w:ascii="宋体" w:eastAsia="宋体"/>
          <w:b/>
          <w:color w:val="000000" w:themeColor="text1"/>
          <w:sz w:val="24"/>
          <w:szCs w:val="24"/>
          <w14:textFill>
            <w14:solidFill>
              <w14:schemeClr w14:val="tx1"/>
            </w14:solidFill>
          </w14:textFill>
        </w:rPr>
        <w:fldChar w:fldCharType="begin"/>
      </w:r>
      <w:r>
        <w:rPr>
          <w:rFonts w:ascii="宋体" w:eastAsia="宋体"/>
          <w:b/>
          <w:color w:val="000000" w:themeColor="text1"/>
          <w:sz w:val="24"/>
          <w:szCs w:val="24"/>
          <w14:textFill>
            <w14:solidFill>
              <w14:schemeClr w14:val="tx1"/>
            </w14:solidFill>
          </w14:textFill>
        </w:rPr>
        <w:instrText xml:space="preserve"> TOC \o "1-1" \h \z \u </w:instrText>
      </w:r>
      <w:r>
        <w:rPr>
          <w:rFonts w:ascii="宋体" w:eastAsia="宋体"/>
          <w:b/>
          <w:color w:val="000000" w:themeColor="text1"/>
          <w:sz w:val="24"/>
          <w:szCs w:val="24"/>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"_Toc523906055"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表一  项目基本情况</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_Toc523906055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1</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2BEC6235">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"_Toc523906056"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表二  项目概况</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_Toc523906056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3</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65CC4709">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"_Toc523906057"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表三  主要污染源、污染物处理及其排放情况</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_Toc523906057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17</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6BF01063">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"_Toc523906058"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表四  环境影响报告表主要结论与建议及其审批部门审批决定</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_Toc523906058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20</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11D31576">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"_Toc523906059"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表五  验收监测质量保证及质量控制</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_Toc523906059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23</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6ABD4AF6">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"_Toc523906060"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表六  验收监测内容</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_Toc523906060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25</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3CE99556">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"_Toc523906061"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表七  验收监测结果及分析</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_Toc523906061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27</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5C72B7A7">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"_Toc523906062"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表八  环评及批复落实情况</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_Toc523906062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31</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2A3C8C69">
      <w:pPr>
        <w:pStyle w:val="24"/>
        <w:spacing w:line="360" w:lineRule="auto"/>
        <w:rPr>
          <w:rFonts w:ascii="Times New Roman" w:hAnsi="Times New Roman" w:eastAsia="宋体"/>
          <w:color w:val="000000" w:themeColor="text1"/>
          <w:kern w:val="2"/>
          <w:sz w:val="24"/>
          <w:szCs w:val="24"/>
          <w:lang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"_Toc523906063" </w:instrText>
      </w:r>
      <w:r>
        <w:rPr>
          <w:color w:val="000000" w:themeColor="text1"/>
          <w14:textFill>
            <w14:solidFill>
              <w14:schemeClr w14:val="tx1"/>
            </w14:solidFill>
          </w14:textFill>
        </w:rPr>
        <w:fldChar w:fldCharType="separate"/>
      </w:r>
      <w:r>
        <w:rPr>
          <w:rStyle w:val="38"/>
          <w:rFonts w:ascii="Times New Roman" w:hAnsi="Times New Roman" w:eastAsia="宋体"/>
          <w:color w:val="000000" w:themeColor="text1"/>
          <w:sz w:val="24"/>
          <w:szCs w:val="24"/>
          <w14:textFill>
            <w14:solidFill>
              <w14:schemeClr w14:val="tx1"/>
            </w14:solidFill>
          </w14:textFill>
        </w:rPr>
        <w:t>表九  验收监测结论及建议</w:t>
      </w:r>
      <w:r>
        <w:rPr>
          <w:rFonts w:ascii="Times New Roman" w:hAnsi="Times New Roman" w:eastAsia="宋体"/>
          <w:color w:val="000000" w:themeColor="text1"/>
          <w:sz w:val="24"/>
          <w:szCs w:val="24"/>
          <w14:textFill>
            <w14:solidFill>
              <w14:schemeClr w14:val="tx1"/>
            </w14:solidFill>
          </w14:textFill>
        </w:rPr>
        <w:tab/>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PAGEREF _Toc523906063 \h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34</w:t>
      </w:r>
      <w:r>
        <w:rPr>
          <w:rFonts w:ascii="Times New Roman" w:hAnsi="Times New Roman" w:eastAsia="宋体"/>
          <w:color w:val="000000" w:themeColor="text1"/>
          <w:sz w:val="24"/>
          <w:szCs w:val="24"/>
          <w14:textFill>
            <w14:solidFill>
              <w14:schemeClr w14:val="tx1"/>
            </w14:solidFill>
          </w14:textFill>
        </w:rPr>
        <w:fldChar w:fldCharType="end"/>
      </w:r>
      <w:r>
        <w:rPr>
          <w:rFonts w:ascii="Times New Roman" w:hAnsi="Times New Roman" w:eastAsia="宋体"/>
          <w:color w:val="000000" w:themeColor="text1"/>
          <w:sz w:val="24"/>
          <w:szCs w:val="24"/>
          <w14:textFill>
            <w14:solidFill>
              <w14:schemeClr w14:val="tx1"/>
            </w14:solidFill>
          </w14:textFill>
        </w:rPr>
        <w:fldChar w:fldCharType="end"/>
      </w:r>
    </w:p>
    <w:p w14:paraId="6FFC3061">
      <w:pPr>
        <w:spacing w:line="360" w:lineRule="auto"/>
        <w:ind w:left="964" w:hanging="964" w:hangingChars="400"/>
        <w:jc w:val="left"/>
        <w:rPr>
          <w:rFonts w:ascii="宋体" w:hAnsi="宋体"/>
          <w:bCs/>
          <w:color w:val="000000" w:themeColor="text1"/>
          <w:sz w:val="24"/>
          <w:szCs w:val="24"/>
          <w14:textFill>
            <w14:solidFill>
              <w14:schemeClr w14:val="tx1"/>
            </w14:solidFill>
          </w14:textFill>
        </w:rPr>
      </w:pPr>
      <w:r>
        <w:rPr>
          <w:rFonts w:ascii="宋体" w:hAnsi="宋体"/>
          <w:b/>
          <w:color w:val="000000" w:themeColor="text1"/>
          <w:sz w:val="24"/>
          <w:szCs w:val="24"/>
          <w14:textFill>
            <w14:solidFill>
              <w14:schemeClr w14:val="tx1"/>
            </w14:solidFill>
          </w14:textFill>
        </w:rPr>
        <w:fldChar w:fldCharType="end"/>
      </w:r>
      <w:r>
        <w:rPr>
          <w:rFonts w:ascii="宋体" w:hAnsi="宋体"/>
          <w:bCs/>
          <w:color w:val="000000" w:themeColor="text1"/>
          <w:sz w:val="24"/>
          <w:szCs w:val="24"/>
          <w14:textFill>
            <w14:solidFill>
              <w14:schemeClr w14:val="tx1"/>
            </w14:solidFill>
          </w14:textFill>
        </w:rPr>
        <w:t>附表  建设项目环境保护“三同时”竣工验收登记表</w:t>
      </w:r>
    </w:p>
    <w:p w14:paraId="4F99175E">
      <w:pPr>
        <w:spacing w:line="360" w:lineRule="auto"/>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br w:type="page"/>
      </w:r>
      <w:bookmarkStart w:id="21" w:name="_GoBack"/>
      <w:bookmarkEnd w:id="21"/>
    </w:p>
    <w:p w14:paraId="609851B4">
      <w:pPr>
        <w:spacing w:line="360" w:lineRule="auto"/>
        <w:rPr>
          <w:rFonts w:ascii="宋体" w:hAnsi="宋体"/>
          <w:color w:val="000000" w:themeColor="text1"/>
          <w:kern w:val="0"/>
          <w:sz w:val="24"/>
          <w14:textFill>
            <w14:solidFill>
              <w14:schemeClr w14:val="tx1"/>
            </w14:solidFill>
          </w14:textFill>
        </w:rPr>
      </w:pPr>
    </w:p>
    <w:p w14:paraId="65A96AFF">
      <w:pPr>
        <w:spacing w:line="360" w:lineRule="auto"/>
        <w:rPr>
          <w:rFonts w:ascii="宋体" w:hAnsi="宋体"/>
          <w:color w:val="000000" w:themeColor="text1"/>
          <w:kern w:val="0"/>
          <w:sz w:val="24"/>
          <w14:textFill>
            <w14:solidFill>
              <w14:schemeClr w14:val="tx1"/>
            </w14:solidFill>
          </w14:textFill>
        </w:rPr>
        <w:sectPr>
          <w:pgSz w:w="11907" w:h="16840"/>
          <w:pgMar w:top="1418" w:right="1418" w:bottom="1418" w:left="1418" w:header="851" w:footer="445" w:gutter="0"/>
          <w:pgBorders>
            <w:top w:val="none" w:sz="0" w:space="0"/>
            <w:left w:val="none" w:sz="0" w:space="0"/>
            <w:bottom w:val="none" w:sz="0" w:space="0"/>
            <w:right w:val="none" w:sz="0" w:space="0"/>
          </w:pgBorders>
          <w:cols w:space="720" w:num="1"/>
          <w:docGrid w:type="lines" w:linePitch="312" w:charSpace="0"/>
        </w:sectPr>
      </w:pPr>
    </w:p>
    <w:p w14:paraId="4341A026">
      <w:pPr>
        <w:pStyle w:val="7"/>
        <w:rPr>
          <w:color w:val="auto"/>
        </w:rPr>
      </w:pPr>
      <w:bookmarkStart w:id="0" w:name="_Toc523906055"/>
      <w:r>
        <w:rPr>
          <w:color w:val="auto"/>
        </w:rPr>
        <w:t>表一  项目</w:t>
      </w:r>
      <w:r>
        <w:rPr>
          <w:rFonts w:hint="eastAsia"/>
          <w:color w:val="auto"/>
        </w:rPr>
        <w:t>基本情况</w:t>
      </w:r>
      <w:bookmarkEnd w:id="0"/>
    </w:p>
    <w:tbl>
      <w:tblPr>
        <w:tblStyle w:val="34"/>
        <w:tblW w:w="959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7"/>
      </w:tblGrid>
      <w:tr w14:paraId="78A9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6" w:hRule="atLeast"/>
        </w:trPr>
        <w:tc>
          <w:tcPr>
            <w:tcW w:w="9597" w:type="dxa"/>
            <w:shd w:val="clear" w:color="auto" w:fill="auto"/>
          </w:tcPr>
          <w:tbl>
            <w:tblPr>
              <w:tblStyle w:val="34"/>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671"/>
              <w:gridCol w:w="3017"/>
              <w:gridCol w:w="1532"/>
              <w:gridCol w:w="1275"/>
              <w:gridCol w:w="846"/>
              <w:gridCol w:w="1072"/>
            </w:tblGrid>
            <w:tr w14:paraId="2527D8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0" w:type="pct"/>
                  <w:gridSpan w:val="2"/>
                  <w:tcBorders>
                    <w:tl2br w:val="nil"/>
                    <w:tr2bl w:val="nil"/>
                  </w:tcBorders>
                  <w:vAlign w:val="center"/>
                </w:tcPr>
                <w:p w14:paraId="739E9744">
                  <w:pPr>
                    <w:adjustRightInd w:val="0"/>
                    <w:snapToGrid w:val="0"/>
                    <w:jc w:val="center"/>
                    <w:rPr>
                      <w:bCs/>
                      <w:color w:val="auto"/>
                      <w:szCs w:val="21"/>
                    </w:rPr>
                  </w:pPr>
                  <w:r>
                    <w:rPr>
                      <w:bCs/>
                      <w:color w:val="auto"/>
                      <w:szCs w:val="21"/>
                    </w:rPr>
                    <w:t>建设项目名称</w:t>
                  </w:r>
                </w:p>
              </w:tc>
              <w:tc>
                <w:tcPr>
                  <w:tcW w:w="4129" w:type="pct"/>
                  <w:gridSpan w:val="5"/>
                  <w:tcBorders>
                    <w:tl2br w:val="nil"/>
                    <w:tr2bl w:val="nil"/>
                  </w:tcBorders>
                  <w:vAlign w:val="center"/>
                </w:tcPr>
                <w:p w14:paraId="65C539E6">
                  <w:pPr>
                    <w:adjustRightInd w:val="0"/>
                    <w:snapToGrid w:val="0"/>
                    <w:jc w:val="center"/>
                    <w:rPr>
                      <w:color w:val="auto"/>
                      <w:szCs w:val="21"/>
                    </w:rPr>
                  </w:pPr>
                  <w:r>
                    <w:rPr>
                      <w:rFonts w:hint="eastAsia"/>
                      <w:color w:val="auto"/>
                      <w:szCs w:val="21"/>
                      <w:lang w:eastAsia="zh-CN"/>
                    </w:rPr>
                    <w:t>水联江西管道装备有限公司年产20万吨螺旋管50万涂塑项目（一期）</w:t>
                  </w:r>
                </w:p>
              </w:tc>
            </w:tr>
            <w:tr w14:paraId="7F2EE3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0" w:type="pct"/>
                  <w:gridSpan w:val="2"/>
                  <w:tcBorders>
                    <w:tl2br w:val="nil"/>
                    <w:tr2bl w:val="nil"/>
                  </w:tcBorders>
                  <w:vAlign w:val="center"/>
                </w:tcPr>
                <w:p w14:paraId="11C6F400">
                  <w:pPr>
                    <w:adjustRightInd w:val="0"/>
                    <w:snapToGrid w:val="0"/>
                    <w:jc w:val="center"/>
                    <w:rPr>
                      <w:color w:val="auto"/>
                      <w:szCs w:val="21"/>
                    </w:rPr>
                  </w:pPr>
                  <w:r>
                    <w:rPr>
                      <w:color w:val="auto"/>
                      <w:szCs w:val="21"/>
                    </w:rPr>
                    <w:t>建设单位名称</w:t>
                  </w:r>
                </w:p>
              </w:tc>
              <w:tc>
                <w:tcPr>
                  <w:tcW w:w="4129" w:type="pct"/>
                  <w:gridSpan w:val="5"/>
                  <w:tcBorders>
                    <w:tl2br w:val="nil"/>
                    <w:tr2bl w:val="nil"/>
                  </w:tcBorders>
                  <w:vAlign w:val="center"/>
                </w:tcPr>
                <w:p w14:paraId="5B86A0EE">
                  <w:pPr>
                    <w:adjustRightInd w:val="0"/>
                    <w:snapToGrid w:val="0"/>
                    <w:jc w:val="center"/>
                    <w:rPr>
                      <w:rFonts w:hint="eastAsia" w:eastAsia="宋体"/>
                      <w:color w:val="auto"/>
                      <w:szCs w:val="21"/>
                      <w:lang w:eastAsia="zh-CN"/>
                    </w:rPr>
                  </w:pPr>
                  <w:r>
                    <w:rPr>
                      <w:rFonts w:hint="eastAsia"/>
                      <w:color w:val="auto"/>
                      <w:szCs w:val="21"/>
                      <w:lang w:eastAsia="zh-CN"/>
                    </w:rPr>
                    <w:t>水联（江西）管道装备有限公司</w:t>
                  </w:r>
                </w:p>
              </w:tc>
            </w:tr>
            <w:tr w14:paraId="47119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0" w:type="pct"/>
                  <w:gridSpan w:val="2"/>
                  <w:tcBorders>
                    <w:tl2br w:val="nil"/>
                    <w:tr2bl w:val="nil"/>
                  </w:tcBorders>
                  <w:vAlign w:val="center"/>
                </w:tcPr>
                <w:p w14:paraId="6BFA9911">
                  <w:pPr>
                    <w:adjustRightInd w:val="0"/>
                    <w:snapToGrid w:val="0"/>
                    <w:jc w:val="center"/>
                    <w:rPr>
                      <w:color w:val="auto"/>
                      <w:szCs w:val="21"/>
                    </w:rPr>
                  </w:pPr>
                  <w:r>
                    <w:rPr>
                      <w:color w:val="auto"/>
                      <w:szCs w:val="21"/>
                    </w:rPr>
                    <w:t>建设项目性质</w:t>
                  </w:r>
                </w:p>
              </w:tc>
              <w:tc>
                <w:tcPr>
                  <w:tcW w:w="4129" w:type="pct"/>
                  <w:gridSpan w:val="5"/>
                  <w:tcBorders>
                    <w:tl2br w:val="nil"/>
                    <w:tr2bl w:val="nil"/>
                  </w:tcBorders>
                  <w:vAlign w:val="center"/>
                </w:tcPr>
                <w:p w14:paraId="36212B1D">
                  <w:pPr>
                    <w:adjustRightInd w:val="0"/>
                    <w:snapToGrid w:val="0"/>
                    <w:jc w:val="center"/>
                    <w:rPr>
                      <w:color w:val="auto"/>
                      <w:szCs w:val="21"/>
                    </w:rPr>
                  </w:pPr>
                  <w:r>
                    <w:rPr>
                      <w:rFonts w:hint="eastAsia" w:ascii="宋体" w:hAnsi="宋体"/>
                      <w:color w:val="auto"/>
                      <w:szCs w:val="21"/>
                      <w:lang w:eastAsia="zh-CN"/>
                    </w:rPr>
                    <w:t>☑</w:t>
                  </w:r>
                  <w:r>
                    <w:rPr>
                      <w:color w:val="auto"/>
                      <w:szCs w:val="21"/>
                    </w:rPr>
                    <w:t xml:space="preserve">新建   </w:t>
                  </w:r>
                  <w:r>
                    <w:rPr>
                      <w:rFonts w:hint="eastAsia" w:ascii="宋体" w:hAnsi="宋体"/>
                      <w:color w:val="auto"/>
                      <w:szCs w:val="21"/>
                    </w:rPr>
                    <w:t>□</w:t>
                  </w:r>
                  <w:r>
                    <w:rPr>
                      <w:color w:val="auto"/>
                      <w:szCs w:val="21"/>
                    </w:rPr>
                    <w:t xml:space="preserve">改扩建   </w:t>
                  </w:r>
                  <w:r>
                    <w:rPr>
                      <w:rFonts w:hint="eastAsia" w:ascii="宋体" w:hAnsi="宋体"/>
                      <w:color w:val="auto"/>
                      <w:szCs w:val="21"/>
                    </w:rPr>
                    <w:t>□</w:t>
                  </w:r>
                  <w:r>
                    <w:rPr>
                      <w:color w:val="auto"/>
                      <w:szCs w:val="21"/>
                    </w:rPr>
                    <w:t>技改</w:t>
                  </w:r>
                  <w:r>
                    <w:rPr>
                      <w:rFonts w:hint="eastAsia"/>
                      <w:color w:val="auto"/>
                      <w:szCs w:val="21"/>
                    </w:rPr>
                    <w:t xml:space="preserve"> </w:t>
                  </w:r>
                  <w:r>
                    <w:rPr>
                      <w:color w:val="auto"/>
                      <w:szCs w:val="21"/>
                    </w:rPr>
                    <w:t xml:space="preserve">   </w:t>
                  </w:r>
                  <w:r>
                    <w:rPr>
                      <w:rFonts w:hint="eastAsia" w:ascii="宋体" w:hAnsi="宋体"/>
                      <w:color w:val="auto"/>
                      <w:szCs w:val="21"/>
                    </w:rPr>
                    <w:t>□</w:t>
                  </w:r>
                  <w:r>
                    <w:rPr>
                      <w:color w:val="auto"/>
                      <w:szCs w:val="21"/>
                    </w:rPr>
                    <w:t>迁建</w:t>
                  </w:r>
                </w:p>
              </w:tc>
            </w:tr>
            <w:tr w14:paraId="3E057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0" w:type="pct"/>
                  <w:gridSpan w:val="2"/>
                  <w:tcBorders>
                    <w:tl2br w:val="nil"/>
                    <w:tr2bl w:val="nil"/>
                  </w:tcBorders>
                  <w:vAlign w:val="center"/>
                </w:tcPr>
                <w:p w14:paraId="2513E098">
                  <w:pPr>
                    <w:adjustRightInd w:val="0"/>
                    <w:snapToGrid w:val="0"/>
                    <w:jc w:val="center"/>
                    <w:rPr>
                      <w:color w:val="auto"/>
                      <w:szCs w:val="21"/>
                    </w:rPr>
                  </w:pPr>
                  <w:r>
                    <w:rPr>
                      <w:color w:val="auto"/>
                      <w:szCs w:val="21"/>
                    </w:rPr>
                    <w:t>建设地点</w:t>
                  </w:r>
                </w:p>
              </w:tc>
              <w:tc>
                <w:tcPr>
                  <w:tcW w:w="4129" w:type="pct"/>
                  <w:gridSpan w:val="5"/>
                  <w:tcBorders>
                    <w:tl2br w:val="nil"/>
                    <w:tr2bl w:val="nil"/>
                  </w:tcBorders>
                  <w:vAlign w:val="center"/>
                </w:tcPr>
                <w:p w14:paraId="5231199D">
                  <w:pPr>
                    <w:adjustRightInd w:val="0"/>
                    <w:snapToGrid w:val="0"/>
                    <w:jc w:val="center"/>
                    <w:rPr>
                      <w:rFonts w:hint="eastAsia" w:hAnsi="宋体" w:eastAsia="宋体"/>
                      <w:color w:val="auto"/>
                      <w:szCs w:val="21"/>
                      <w:lang w:eastAsia="zh-CN"/>
                    </w:rPr>
                  </w:pPr>
                  <w:r>
                    <w:rPr>
                      <w:rFonts w:hint="eastAsia"/>
                      <w:color w:val="auto"/>
                      <w:kern w:val="0"/>
                      <w:sz w:val="21"/>
                      <w:szCs w:val="21"/>
                    </w:rPr>
                    <w:t>江西省</w:t>
                  </w:r>
                  <w:r>
                    <w:rPr>
                      <w:rFonts w:hint="eastAsia"/>
                      <w:color w:val="auto"/>
                      <w:kern w:val="0"/>
                      <w:sz w:val="21"/>
                      <w:szCs w:val="21"/>
                      <w:lang w:eastAsia="zh-CN"/>
                    </w:rPr>
                    <w:t>南昌市南昌县八一乡胡华村雪芹路</w:t>
                  </w:r>
                  <w:r>
                    <w:rPr>
                      <w:rFonts w:hint="eastAsia"/>
                      <w:color w:val="auto"/>
                      <w:kern w:val="0"/>
                      <w:sz w:val="21"/>
                      <w:szCs w:val="21"/>
                      <w:lang w:val="en-US" w:eastAsia="zh-CN"/>
                    </w:rPr>
                    <w:t>67号</w:t>
                  </w:r>
                  <w:r>
                    <w:rPr>
                      <w:rFonts w:hint="eastAsia"/>
                      <w:color w:val="auto"/>
                      <w:kern w:val="0"/>
                      <w:sz w:val="21"/>
                      <w:szCs w:val="21"/>
                    </w:rPr>
                    <w:t xml:space="preserve"> </w:t>
                  </w:r>
                </w:p>
              </w:tc>
            </w:tr>
            <w:tr w14:paraId="0E2721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0" w:type="pct"/>
                  <w:gridSpan w:val="2"/>
                  <w:vMerge w:val="restart"/>
                  <w:tcBorders>
                    <w:tl2br w:val="nil"/>
                    <w:tr2bl w:val="nil"/>
                  </w:tcBorders>
                  <w:vAlign w:val="center"/>
                </w:tcPr>
                <w:p w14:paraId="08601C5E">
                  <w:pPr>
                    <w:adjustRightInd w:val="0"/>
                    <w:snapToGrid w:val="0"/>
                    <w:jc w:val="center"/>
                    <w:rPr>
                      <w:color w:val="auto"/>
                      <w:szCs w:val="21"/>
                    </w:rPr>
                  </w:pPr>
                  <w:r>
                    <w:rPr>
                      <w:color w:val="auto"/>
                      <w:szCs w:val="21"/>
                    </w:rPr>
                    <w:t>主要产品名称</w:t>
                  </w:r>
                </w:p>
              </w:tc>
              <w:tc>
                <w:tcPr>
                  <w:tcW w:w="4129" w:type="pct"/>
                  <w:gridSpan w:val="5"/>
                  <w:tcBorders>
                    <w:tl2br w:val="nil"/>
                    <w:tr2bl w:val="nil"/>
                  </w:tcBorders>
                  <w:vAlign w:val="center"/>
                </w:tcPr>
                <w:p w14:paraId="5F712AF1">
                  <w:pPr>
                    <w:adjustRightInd w:val="0"/>
                    <w:snapToGrid w:val="0"/>
                    <w:jc w:val="center"/>
                    <w:rPr>
                      <w:rFonts w:hint="default" w:eastAsia="宋体"/>
                      <w:color w:val="auto"/>
                      <w:szCs w:val="21"/>
                      <w:lang w:val="en-US" w:eastAsia="zh-CN"/>
                    </w:rPr>
                  </w:pPr>
                  <w:r>
                    <w:rPr>
                      <w:rFonts w:hint="eastAsia"/>
                      <w:color w:val="auto"/>
                      <w:szCs w:val="21"/>
                      <w:lang w:eastAsia="zh-CN"/>
                    </w:rPr>
                    <w:t>螺旋管、喷塑防腐螺旋管、</w:t>
                  </w:r>
                  <w:r>
                    <w:rPr>
                      <w:rFonts w:hint="eastAsia"/>
                      <w:color w:val="auto"/>
                      <w:szCs w:val="21"/>
                      <w:lang w:val="en-US" w:eastAsia="zh-CN"/>
                    </w:rPr>
                    <w:t>3PE防腐</w:t>
                  </w:r>
                  <w:r>
                    <w:rPr>
                      <w:rFonts w:hint="eastAsia"/>
                      <w:color w:val="auto"/>
                      <w:szCs w:val="21"/>
                      <w:lang w:eastAsia="zh-CN"/>
                    </w:rPr>
                    <w:t>螺旋管、大管径钢管</w:t>
                  </w:r>
                </w:p>
              </w:tc>
            </w:tr>
            <w:tr w14:paraId="12DE83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870" w:type="pct"/>
                  <w:gridSpan w:val="2"/>
                  <w:vMerge w:val="restart"/>
                  <w:tcBorders>
                    <w:tl2br w:val="nil"/>
                    <w:tr2bl w:val="nil"/>
                  </w:tcBorders>
                  <w:vAlign w:val="center"/>
                </w:tcPr>
                <w:p w14:paraId="71C7BF9C">
                  <w:pPr>
                    <w:adjustRightInd w:val="0"/>
                    <w:snapToGrid w:val="0"/>
                    <w:jc w:val="center"/>
                    <w:rPr>
                      <w:color w:val="auto"/>
                      <w:szCs w:val="21"/>
                    </w:rPr>
                  </w:pPr>
                  <w:r>
                    <w:rPr>
                      <w:color w:val="auto"/>
                      <w:szCs w:val="21"/>
                    </w:rPr>
                    <w:t>设计生产能力</w:t>
                  </w:r>
                </w:p>
              </w:tc>
              <w:tc>
                <w:tcPr>
                  <w:tcW w:w="4129" w:type="pct"/>
                  <w:gridSpan w:val="5"/>
                  <w:tcBorders>
                    <w:tl2br w:val="nil"/>
                    <w:tr2bl w:val="nil"/>
                  </w:tcBorders>
                  <w:vAlign w:val="center"/>
                </w:tcPr>
                <w:tbl>
                  <w:tblPr>
                    <w:tblStyle w:val="34"/>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57"/>
                    <w:gridCol w:w="1501"/>
                    <w:gridCol w:w="1832"/>
                    <w:gridCol w:w="1716"/>
                    <w:gridCol w:w="1717"/>
                  </w:tblGrid>
                  <w:tr w14:paraId="1436D0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1500" w:type="pct"/>
                        <w:gridSpan w:val="2"/>
                        <w:vMerge w:val="restart"/>
                        <w:noWrap w:val="0"/>
                        <w:tcMar>
                          <w:top w:w="15" w:type="dxa"/>
                          <w:left w:w="15" w:type="dxa"/>
                          <w:right w:w="15" w:type="dxa"/>
                        </w:tcMar>
                        <w:vAlign w:val="center"/>
                      </w:tcPr>
                      <w:p w14:paraId="5740DE8A">
                        <w:pPr>
                          <w:pStyle w:val="127"/>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产品</w:t>
                        </w:r>
                        <w:r>
                          <w:rPr>
                            <w:rFonts w:hint="default" w:ascii="Times New Roman" w:hAnsi="Times New Roman" w:eastAsia="宋体" w:cs="Times New Roman"/>
                            <w:b/>
                            <w:bCs/>
                            <w:color w:val="auto"/>
                            <w:sz w:val="21"/>
                            <w:szCs w:val="21"/>
                            <w:lang w:eastAsia="zh-CN"/>
                          </w:rPr>
                          <w:t>名称</w:t>
                        </w:r>
                      </w:p>
                    </w:tc>
                    <w:tc>
                      <w:tcPr>
                        <w:tcW w:w="1217" w:type="pct"/>
                        <w:vMerge w:val="restart"/>
                        <w:noWrap w:val="0"/>
                        <w:tcMar>
                          <w:top w:w="15" w:type="dxa"/>
                          <w:left w:w="15" w:type="dxa"/>
                          <w:right w:w="15" w:type="dxa"/>
                        </w:tcMar>
                        <w:vAlign w:val="center"/>
                      </w:tcPr>
                      <w:p w14:paraId="7B6988CA">
                        <w:pPr>
                          <w:pStyle w:val="127"/>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设计</w:t>
                        </w:r>
                        <w:r>
                          <w:rPr>
                            <w:rFonts w:hint="eastAsia" w:cs="Times New Roman"/>
                            <w:b/>
                            <w:bCs/>
                            <w:color w:val="auto"/>
                            <w:sz w:val="21"/>
                            <w:szCs w:val="21"/>
                            <w:lang w:eastAsia="zh-CN"/>
                          </w:rPr>
                          <w:t>年</w:t>
                        </w:r>
                        <w:r>
                          <w:rPr>
                            <w:rFonts w:hint="default" w:ascii="Times New Roman" w:hAnsi="Times New Roman" w:eastAsia="宋体" w:cs="Times New Roman"/>
                            <w:b/>
                            <w:bCs/>
                            <w:color w:val="auto"/>
                            <w:sz w:val="21"/>
                            <w:szCs w:val="21"/>
                            <w:lang w:eastAsia="zh-CN"/>
                          </w:rPr>
                          <w:t>生产能力</w:t>
                        </w:r>
                        <w:r>
                          <w:rPr>
                            <w:rFonts w:hint="eastAsia" w:cs="Times New Roman"/>
                            <w:b/>
                            <w:bCs/>
                            <w:color w:val="auto"/>
                            <w:sz w:val="21"/>
                            <w:szCs w:val="21"/>
                            <w:lang w:val="en-US" w:eastAsia="zh-CN"/>
                          </w:rPr>
                          <w:t>/t</w:t>
                        </w:r>
                      </w:p>
                    </w:tc>
                    <w:tc>
                      <w:tcPr>
                        <w:tcW w:w="2281" w:type="pct"/>
                        <w:gridSpan w:val="2"/>
                        <w:noWrap w:val="0"/>
                        <w:tcMar>
                          <w:top w:w="15" w:type="dxa"/>
                          <w:left w:w="15" w:type="dxa"/>
                          <w:right w:w="15" w:type="dxa"/>
                        </w:tcMar>
                        <w:vAlign w:val="center"/>
                      </w:tcPr>
                      <w:p w14:paraId="1AD91574">
                        <w:pPr>
                          <w:pStyle w:val="127"/>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设计涂塑</w:t>
                        </w:r>
                        <w:r>
                          <w:rPr>
                            <w:rFonts w:hint="eastAsia" w:cs="Times New Roman"/>
                            <w:b/>
                            <w:bCs/>
                            <w:color w:val="auto"/>
                            <w:sz w:val="21"/>
                            <w:szCs w:val="21"/>
                            <w:lang w:val="en-US" w:eastAsia="zh-CN"/>
                          </w:rPr>
                          <w:t>面积/m</w:t>
                        </w:r>
                        <w:r>
                          <w:rPr>
                            <w:rFonts w:hint="eastAsia" w:cs="Times New Roman"/>
                            <w:b/>
                            <w:bCs/>
                            <w:color w:val="auto"/>
                            <w:sz w:val="21"/>
                            <w:szCs w:val="21"/>
                            <w:vertAlign w:val="superscript"/>
                            <w:lang w:val="en-US" w:eastAsia="zh-CN"/>
                          </w:rPr>
                          <w:t>2</w:t>
                        </w:r>
                      </w:p>
                    </w:tc>
                  </w:tr>
                  <w:tr w14:paraId="51619C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1500" w:type="pct"/>
                        <w:gridSpan w:val="2"/>
                        <w:vMerge w:val="continue"/>
                        <w:noWrap w:val="0"/>
                        <w:tcMar>
                          <w:top w:w="15" w:type="dxa"/>
                          <w:left w:w="15" w:type="dxa"/>
                          <w:right w:w="15" w:type="dxa"/>
                        </w:tcMar>
                        <w:vAlign w:val="center"/>
                      </w:tcPr>
                      <w:p w14:paraId="1F7E0E71">
                        <w:pPr>
                          <w:pStyle w:val="127"/>
                        </w:pPr>
                      </w:p>
                    </w:tc>
                    <w:tc>
                      <w:tcPr>
                        <w:tcW w:w="1217" w:type="pct"/>
                        <w:vMerge w:val="continue"/>
                        <w:noWrap w:val="0"/>
                        <w:tcMar>
                          <w:top w:w="15" w:type="dxa"/>
                          <w:left w:w="15" w:type="dxa"/>
                          <w:right w:w="15" w:type="dxa"/>
                        </w:tcMar>
                        <w:vAlign w:val="center"/>
                      </w:tcPr>
                      <w:p w14:paraId="5C53CE16">
                        <w:pPr>
                          <w:pStyle w:val="127"/>
                        </w:pPr>
                      </w:p>
                    </w:tc>
                    <w:tc>
                      <w:tcPr>
                        <w:tcW w:w="1140" w:type="pct"/>
                        <w:shd w:val="clear" w:color="auto" w:fill="auto"/>
                        <w:noWrap w:val="0"/>
                        <w:tcMar>
                          <w:top w:w="15" w:type="dxa"/>
                          <w:left w:w="15" w:type="dxa"/>
                          <w:right w:w="15" w:type="dxa"/>
                        </w:tcMar>
                        <w:vAlign w:val="center"/>
                      </w:tcPr>
                      <w:p w14:paraId="730599BE">
                        <w:pPr>
                          <w:pStyle w:val="127"/>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sz w:val="21"/>
                            <w:szCs w:val="21"/>
                            <w:lang w:eastAsia="zh-CN"/>
                          </w:rPr>
                          <w:t>喷漆</w:t>
                        </w:r>
                        <w:r>
                          <w:rPr>
                            <w:rFonts w:hint="eastAsia" w:cs="Times New Roman"/>
                            <w:b/>
                            <w:bCs/>
                            <w:color w:val="auto"/>
                            <w:sz w:val="21"/>
                            <w:szCs w:val="21"/>
                            <w:lang w:val="en-US" w:eastAsia="zh-CN"/>
                          </w:rPr>
                          <w:t>面积/m</w:t>
                        </w:r>
                        <w:r>
                          <w:rPr>
                            <w:rFonts w:hint="eastAsia" w:cs="Times New Roman"/>
                            <w:b/>
                            <w:bCs/>
                            <w:color w:val="auto"/>
                            <w:sz w:val="21"/>
                            <w:szCs w:val="21"/>
                            <w:vertAlign w:val="superscript"/>
                            <w:lang w:val="en-US" w:eastAsia="zh-CN"/>
                          </w:rPr>
                          <w:t>2</w:t>
                        </w:r>
                      </w:p>
                    </w:tc>
                    <w:tc>
                      <w:tcPr>
                        <w:tcW w:w="1141" w:type="pct"/>
                        <w:shd w:val="clear" w:color="auto" w:fill="auto"/>
                        <w:noWrap w:val="0"/>
                        <w:tcMar>
                          <w:top w:w="15" w:type="dxa"/>
                          <w:left w:w="15" w:type="dxa"/>
                          <w:right w:w="15" w:type="dxa"/>
                        </w:tcMar>
                        <w:vAlign w:val="center"/>
                      </w:tcPr>
                      <w:p w14:paraId="17C428C3">
                        <w:pPr>
                          <w:pStyle w:val="127"/>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sz w:val="21"/>
                            <w:szCs w:val="21"/>
                            <w:lang w:val="en-US" w:eastAsia="zh-CN"/>
                          </w:rPr>
                          <w:t>喷塑面积/m</w:t>
                        </w:r>
                        <w:r>
                          <w:rPr>
                            <w:rFonts w:hint="eastAsia" w:cs="Times New Roman"/>
                            <w:b/>
                            <w:bCs/>
                            <w:color w:val="auto"/>
                            <w:sz w:val="21"/>
                            <w:szCs w:val="21"/>
                            <w:vertAlign w:val="superscript"/>
                            <w:lang w:val="en-US" w:eastAsia="zh-CN"/>
                          </w:rPr>
                          <w:t>2</w:t>
                        </w:r>
                      </w:p>
                    </w:tc>
                  </w:tr>
                  <w:tr w14:paraId="559F19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03" w:type="pct"/>
                        <w:vMerge w:val="restart"/>
                        <w:noWrap/>
                        <w:tcMar>
                          <w:top w:w="15" w:type="dxa"/>
                          <w:left w:w="15" w:type="dxa"/>
                          <w:right w:w="15" w:type="dxa"/>
                        </w:tcMar>
                        <w:vAlign w:val="center"/>
                      </w:tcPr>
                      <w:p w14:paraId="0C4EBEC5">
                        <w:pPr>
                          <w:pStyle w:val="121"/>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螺旋管</w:t>
                        </w:r>
                      </w:p>
                    </w:tc>
                    <w:tc>
                      <w:tcPr>
                        <w:tcW w:w="997" w:type="pct"/>
                        <w:noWrap/>
                        <w:tcMar>
                          <w:top w:w="15" w:type="dxa"/>
                          <w:left w:w="15" w:type="dxa"/>
                          <w:right w:w="15" w:type="dxa"/>
                        </w:tcMar>
                        <w:vAlign w:val="center"/>
                      </w:tcPr>
                      <w:p w14:paraId="18486720">
                        <w:pPr>
                          <w:spacing w:line="320" w:lineRule="exact"/>
                          <w:jc w:val="center"/>
                          <w:textAlignment w:val="baseline"/>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螺旋管</w:t>
                        </w:r>
                      </w:p>
                    </w:tc>
                    <w:tc>
                      <w:tcPr>
                        <w:tcW w:w="1217" w:type="pct"/>
                        <w:noWrap w:val="0"/>
                        <w:tcMar>
                          <w:top w:w="15" w:type="dxa"/>
                          <w:left w:w="15" w:type="dxa"/>
                          <w:right w:w="15" w:type="dxa"/>
                        </w:tcMar>
                        <w:vAlign w:val="center"/>
                      </w:tcPr>
                      <w:p w14:paraId="39972D34">
                        <w:pPr>
                          <w:spacing w:line="320" w:lineRule="exact"/>
                          <w:jc w:val="center"/>
                          <w:textAlignment w:val="baseline"/>
                          <w:rPr>
                            <w:rFonts w:hint="default" w:ascii="Times New Roman" w:hAnsi="Times New Roman" w:eastAsia="宋体" w:cs="Times New Roman"/>
                            <w:color w:val="auto"/>
                            <w:kern w:val="2"/>
                            <w:sz w:val="21"/>
                            <w:highlight w:val="none"/>
                            <w:lang w:val="en-US" w:eastAsia="zh-CN" w:bidi="ar-SA"/>
                          </w:rPr>
                        </w:pPr>
                        <w:r>
                          <w:rPr>
                            <w:rFonts w:hint="eastAsia"/>
                            <w:color w:val="auto"/>
                            <w:szCs w:val="21"/>
                            <w:lang w:val="en-US" w:eastAsia="zh-CN"/>
                          </w:rPr>
                          <w:t>89404</w:t>
                        </w:r>
                      </w:p>
                    </w:tc>
                    <w:tc>
                      <w:tcPr>
                        <w:tcW w:w="1140" w:type="pct"/>
                        <w:noWrap/>
                        <w:tcMar>
                          <w:top w:w="15" w:type="dxa"/>
                          <w:left w:w="15" w:type="dxa"/>
                          <w:right w:w="15" w:type="dxa"/>
                        </w:tcMar>
                        <w:vAlign w:val="center"/>
                      </w:tcPr>
                      <w:p w14:paraId="5A08F741">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1141" w:type="pct"/>
                        <w:noWrap/>
                        <w:tcMar>
                          <w:top w:w="15" w:type="dxa"/>
                          <w:left w:w="15" w:type="dxa"/>
                          <w:right w:w="15" w:type="dxa"/>
                        </w:tcMar>
                        <w:vAlign w:val="center"/>
                      </w:tcPr>
                      <w:p w14:paraId="74D04233">
                        <w:pPr>
                          <w:spacing w:line="320" w:lineRule="exact"/>
                          <w:jc w:val="center"/>
                          <w:textAlignment w:val="baseline"/>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738580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03" w:type="pct"/>
                        <w:vMerge w:val="continue"/>
                        <w:noWrap/>
                        <w:tcMar>
                          <w:top w:w="15" w:type="dxa"/>
                          <w:left w:w="15" w:type="dxa"/>
                          <w:right w:w="15" w:type="dxa"/>
                        </w:tcMar>
                        <w:vAlign w:val="center"/>
                      </w:tcPr>
                      <w:p w14:paraId="7492BDC9">
                        <w:pPr>
                          <w:pStyle w:val="121"/>
                          <w:rPr>
                            <w:rFonts w:hint="eastAsia" w:cs="Times New Roman"/>
                            <w:color w:val="auto"/>
                            <w:sz w:val="21"/>
                            <w:szCs w:val="21"/>
                            <w:lang w:val="en-US" w:eastAsia="zh-CN"/>
                          </w:rPr>
                        </w:pPr>
                      </w:p>
                    </w:tc>
                    <w:tc>
                      <w:tcPr>
                        <w:tcW w:w="997" w:type="pct"/>
                        <w:noWrap/>
                        <w:tcMar>
                          <w:top w:w="15" w:type="dxa"/>
                          <w:left w:w="15" w:type="dxa"/>
                          <w:right w:w="15" w:type="dxa"/>
                        </w:tcMar>
                        <w:vAlign w:val="center"/>
                      </w:tcPr>
                      <w:p w14:paraId="03B33B55">
                        <w:pPr>
                          <w:spacing w:line="320" w:lineRule="exact"/>
                          <w:jc w:val="center"/>
                          <w:textAlignment w:val="baseline"/>
                          <w:rPr>
                            <w:rFonts w:hint="eastAsia" w:cs="Times New Roman"/>
                            <w:color w:val="auto"/>
                            <w:sz w:val="21"/>
                            <w:szCs w:val="21"/>
                            <w:lang w:eastAsia="zh-CN"/>
                          </w:rPr>
                        </w:pPr>
                        <w:r>
                          <w:rPr>
                            <w:rFonts w:hint="eastAsia" w:cs="Times New Roman"/>
                            <w:color w:val="auto"/>
                            <w:sz w:val="21"/>
                            <w:szCs w:val="21"/>
                            <w:lang w:eastAsia="zh-CN"/>
                          </w:rPr>
                          <w:t>喷漆</w:t>
                        </w:r>
                        <w:r>
                          <w:rPr>
                            <w:rFonts w:hint="eastAsia"/>
                            <w:color w:val="auto"/>
                            <w:szCs w:val="21"/>
                            <w:lang w:eastAsia="zh-CN"/>
                          </w:rPr>
                          <w:t>防腐螺旋管</w:t>
                        </w:r>
                      </w:p>
                    </w:tc>
                    <w:tc>
                      <w:tcPr>
                        <w:tcW w:w="1217" w:type="pct"/>
                        <w:noWrap w:val="0"/>
                        <w:tcMar>
                          <w:top w:w="15" w:type="dxa"/>
                          <w:left w:w="15" w:type="dxa"/>
                          <w:right w:w="15" w:type="dxa"/>
                        </w:tcMar>
                        <w:vAlign w:val="center"/>
                      </w:tcPr>
                      <w:p w14:paraId="5025C1F2">
                        <w:pPr>
                          <w:spacing w:line="320" w:lineRule="exact"/>
                          <w:jc w:val="center"/>
                          <w:textAlignment w:val="baseline"/>
                          <w:rPr>
                            <w:rFonts w:hint="default"/>
                            <w:color w:val="auto"/>
                            <w:szCs w:val="21"/>
                            <w:lang w:val="en-US" w:eastAsia="zh-CN"/>
                          </w:rPr>
                        </w:pPr>
                        <w:r>
                          <w:rPr>
                            <w:rFonts w:hint="eastAsia"/>
                            <w:color w:val="auto"/>
                            <w:szCs w:val="21"/>
                            <w:lang w:val="en-US" w:eastAsia="zh-CN"/>
                          </w:rPr>
                          <w:t>70</w:t>
                        </w:r>
                      </w:p>
                    </w:tc>
                    <w:tc>
                      <w:tcPr>
                        <w:tcW w:w="1140" w:type="pct"/>
                        <w:noWrap/>
                        <w:tcMar>
                          <w:top w:w="15" w:type="dxa"/>
                          <w:left w:w="15" w:type="dxa"/>
                          <w:right w:w="15" w:type="dxa"/>
                        </w:tcMar>
                        <w:vAlign w:val="center"/>
                      </w:tcPr>
                      <w:p w14:paraId="4BD28946">
                        <w:pPr>
                          <w:spacing w:line="320" w:lineRule="exact"/>
                          <w:jc w:val="center"/>
                          <w:textAlignment w:val="baseline"/>
                          <w:rPr>
                            <w:rFonts w:hint="eastAsia"/>
                            <w:color w:val="auto"/>
                            <w:szCs w:val="21"/>
                            <w:lang w:val="en-US" w:eastAsia="zh-CN"/>
                          </w:rPr>
                        </w:pPr>
                        <w:r>
                          <w:rPr>
                            <w:rFonts w:hint="eastAsia"/>
                            <w:color w:val="auto"/>
                            <w:szCs w:val="21"/>
                            <w:lang w:val="en-US" w:eastAsia="zh-CN"/>
                          </w:rPr>
                          <w:t>24077.5</w:t>
                        </w:r>
                      </w:p>
                    </w:tc>
                    <w:tc>
                      <w:tcPr>
                        <w:tcW w:w="1141" w:type="pct"/>
                        <w:noWrap/>
                        <w:tcMar>
                          <w:top w:w="15" w:type="dxa"/>
                          <w:left w:w="15" w:type="dxa"/>
                          <w:right w:w="15" w:type="dxa"/>
                        </w:tcMar>
                        <w:vAlign w:val="center"/>
                      </w:tcPr>
                      <w:p w14:paraId="4C289D95">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r>
                  <w:tr w14:paraId="5A8D8C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03" w:type="pct"/>
                        <w:vMerge w:val="continue"/>
                        <w:noWrap/>
                        <w:tcMar>
                          <w:top w:w="15" w:type="dxa"/>
                          <w:left w:w="15" w:type="dxa"/>
                          <w:right w:w="15" w:type="dxa"/>
                        </w:tcMar>
                        <w:vAlign w:val="center"/>
                      </w:tcPr>
                      <w:p w14:paraId="0A764046">
                        <w:pPr>
                          <w:pStyle w:val="121"/>
                          <w:rPr>
                            <w:rFonts w:hint="default" w:ascii="Times New Roman" w:hAnsi="Times New Roman" w:eastAsia="宋体" w:cs="Times New Roman"/>
                            <w:color w:val="auto"/>
                            <w:sz w:val="21"/>
                            <w:szCs w:val="21"/>
                            <w:lang w:val="en-US" w:eastAsia="zh-CN"/>
                          </w:rPr>
                        </w:pPr>
                      </w:p>
                    </w:tc>
                    <w:tc>
                      <w:tcPr>
                        <w:tcW w:w="997" w:type="pct"/>
                        <w:noWrap/>
                        <w:tcMar>
                          <w:top w:w="15" w:type="dxa"/>
                          <w:left w:w="15" w:type="dxa"/>
                          <w:right w:w="15" w:type="dxa"/>
                        </w:tcMar>
                        <w:vAlign w:val="center"/>
                      </w:tcPr>
                      <w:p w14:paraId="6418E1E9">
                        <w:pPr>
                          <w:spacing w:line="320" w:lineRule="exact"/>
                          <w:jc w:val="center"/>
                          <w:textAlignment w:val="baseline"/>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喷塑</w:t>
                        </w:r>
                        <w:r>
                          <w:rPr>
                            <w:rFonts w:hint="eastAsia"/>
                            <w:color w:val="auto"/>
                            <w:szCs w:val="21"/>
                            <w:lang w:eastAsia="zh-CN"/>
                          </w:rPr>
                          <w:t>防腐螺旋管</w:t>
                        </w:r>
                      </w:p>
                    </w:tc>
                    <w:tc>
                      <w:tcPr>
                        <w:tcW w:w="1217" w:type="pct"/>
                        <w:noWrap w:val="0"/>
                        <w:tcMar>
                          <w:top w:w="15" w:type="dxa"/>
                          <w:left w:w="15" w:type="dxa"/>
                          <w:right w:w="15" w:type="dxa"/>
                        </w:tcMar>
                        <w:vAlign w:val="center"/>
                      </w:tcPr>
                      <w:p w14:paraId="1D27ECE1">
                        <w:pPr>
                          <w:spacing w:line="320" w:lineRule="exact"/>
                          <w:jc w:val="center"/>
                          <w:textAlignment w:val="baseline"/>
                          <w:rPr>
                            <w:rFonts w:hint="default" w:ascii="Times New Roman" w:hAnsi="Times New Roman" w:eastAsia="宋体" w:cs="Times New Roman"/>
                            <w:color w:val="auto"/>
                            <w:sz w:val="21"/>
                            <w:szCs w:val="21"/>
                          </w:rPr>
                        </w:pPr>
                        <w:r>
                          <w:rPr>
                            <w:rFonts w:hint="eastAsia"/>
                            <w:color w:val="auto"/>
                            <w:szCs w:val="21"/>
                            <w:lang w:val="en-US" w:eastAsia="zh-CN"/>
                          </w:rPr>
                          <w:t>84</w:t>
                        </w:r>
                      </w:p>
                    </w:tc>
                    <w:tc>
                      <w:tcPr>
                        <w:tcW w:w="1140" w:type="pct"/>
                        <w:noWrap/>
                        <w:tcMar>
                          <w:top w:w="15" w:type="dxa"/>
                          <w:left w:w="15" w:type="dxa"/>
                          <w:right w:w="15" w:type="dxa"/>
                        </w:tcMar>
                        <w:vAlign w:val="center"/>
                      </w:tcPr>
                      <w:p w14:paraId="4E630719">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1141" w:type="pct"/>
                        <w:noWrap/>
                        <w:tcMar>
                          <w:top w:w="15" w:type="dxa"/>
                          <w:left w:w="15" w:type="dxa"/>
                          <w:right w:w="15" w:type="dxa"/>
                        </w:tcMar>
                        <w:vAlign w:val="center"/>
                      </w:tcPr>
                      <w:p w14:paraId="7C8DB793">
                        <w:pPr>
                          <w:spacing w:line="320" w:lineRule="exact"/>
                          <w:jc w:val="center"/>
                          <w:textAlignment w:val="baseline"/>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29340.64</w:t>
                        </w:r>
                      </w:p>
                    </w:tc>
                  </w:tr>
                  <w:tr w14:paraId="74575B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03" w:type="pct"/>
                        <w:vMerge w:val="continue"/>
                        <w:noWrap/>
                        <w:tcMar>
                          <w:top w:w="15" w:type="dxa"/>
                          <w:left w:w="15" w:type="dxa"/>
                          <w:right w:w="15" w:type="dxa"/>
                        </w:tcMar>
                        <w:vAlign w:val="center"/>
                      </w:tcPr>
                      <w:p w14:paraId="55A4C45C">
                        <w:pPr>
                          <w:pStyle w:val="121"/>
                          <w:rPr>
                            <w:rFonts w:hint="default" w:ascii="Times New Roman" w:hAnsi="Times New Roman" w:eastAsia="宋体" w:cs="Times New Roman"/>
                            <w:color w:val="auto"/>
                            <w:sz w:val="21"/>
                            <w:szCs w:val="21"/>
                            <w:lang w:val="en-US" w:eastAsia="zh-CN"/>
                          </w:rPr>
                        </w:pPr>
                      </w:p>
                    </w:tc>
                    <w:tc>
                      <w:tcPr>
                        <w:tcW w:w="997" w:type="pct"/>
                        <w:noWrap/>
                        <w:tcMar>
                          <w:top w:w="15" w:type="dxa"/>
                          <w:left w:w="15" w:type="dxa"/>
                          <w:right w:w="15" w:type="dxa"/>
                        </w:tcMar>
                        <w:vAlign w:val="center"/>
                      </w:tcPr>
                      <w:p w14:paraId="43CDA5BE">
                        <w:pPr>
                          <w:spacing w:line="320" w:lineRule="exact"/>
                          <w:jc w:val="center"/>
                          <w:textAlignment w:val="baseline"/>
                          <w:rPr>
                            <w:rFonts w:hint="eastAsia" w:cs="Times New Roman"/>
                            <w:color w:val="auto"/>
                            <w:sz w:val="21"/>
                            <w:szCs w:val="21"/>
                            <w:lang w:eastAsia="zh-CN"/>
                          </w:rPr>
                        </w:pPr>
                        <w:r>
                          <w:rPr>
                            <w:rFonts w:hint="eastAsia"/>
                            <w:color w:val="auto"/>
                            <w:szCs w:val="21"/>
                            <w:lang w:val="en-US" w:eastAsia="zh-CN"/>
                          </w:rPr>
                          <w:t>3PE防腐</w:t>
                        </w:r>
                        <w:r>
                          <w:rPr>
                            <w:rFonts w:hint="eastAsia"/>
                            <w:color w:val="auto"/>
                            <w:szCs w:val="21"/>
                            <w:lang w:eastAsia="zh-CN"/>
                          </w:rPr>
                          <w:t>螺旋管</w:t>
                        </w:r>
                      </w:p>
                    </w:tc>
                    <w:tc>
                      <w:tcPr>
                        <w:tcW w:w="1217" w:type="pct"/>
                        <w:noWrap w:val="0"/>
                        <w:tcMar>
                          <w:top w:w="15" w:type="dxa"/>
                          <w:left w:w="15" w:type="dxa"/>
                          <w:right w:w="15" w:type="dxa"/>
                        </w:tcMar>
                        <w:vAlign w:val="center"/>
                      </w:tcPr>
                      <w:p w14:paraId="732206AB">
                        <w:pPr>
                          <w:spacing w:line="320" w:lineRule="exact"/>
                          <w:jc w:val="center"/>
                          <w:textAlignment w:val="baseline"/>
                          <w:rPr>
                            <w:rFonts w:hint="default"/>
                            <w:color w:val="auto"/>
                            <w:szCs w:val="21"/>
                            <w:lang w:val="en-US" w:eastAsia="zh-CN"/>
                          </w:rPr>
                        </w:pPr>
                        <w:r>
                          <w:rPr>
                            <w:rFonts w:hint="eastAsia"/>
                            <w:color w:val="auto"/>
                            <w:szCs w:val="21"/>
                            <w:lang w:val="en-US" w:eastAsia="zh-CN"/>
                          </w:rPr>
                          <w:t>2242</w:t>
                        </w:r>
                      </w:p>
                    </w:tc>
                    <w:tc>
                      <w:tcPr>
                        <w:tcW w:w="1140" w:type="pct"/>
                        <w:noWrap/>
                        <w:tcMar>
                          <w:top w:w="15" w:type="dxa"/>
                          <w:left w:w="15" w:type="dxa"/>
                          <w:right w:w="15" w:type="dxa"/>
                        </w:tcMar>
                        <w:vAlign w:val="center"/>
                      </w:tcPr>
                      <w:p w14:paraId="1BD55A2D">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1141" w:type="pct"/>
                        <w:noWrap/>
                        <w:tcMar>
                          <w:top w:w="15" w:type="dxa"/>
                          <w:left w:w="15" w:type="dxa"/>
                          <w:right w:w="15" w:type="dxa"/>
                        </w:tcMar>
                        <w:vAlign w:val="center"/>
                      </w:tcPr>
                      <w:p w14:paraId="74497F16">
                        <w:pPr>
                          <w:spacing w:line="320" w:lineRule="exact"/>
                          <w:jc w:val="center"/>
                          <w:textAlignment w:val="baseline"/>
                          <w:rPr>
                            <w:rFonts w:hint="default" w:eastAsia="宋体"/>
                            <w:color w:val="auto"/>
                            <w:szCs w:val="21"/>
                            <w:lang w:val="en-US" w:eastAsia="zh-CN"/>
                          </w:rPr>
                        </w:pPr>
                        <w:r>
                          <w:rPr>
                            <w:rFonts w:hint="eastAsia"/>
                            <w:color w:val="auto"/>
                            <w:szCs w:val="21"/>
                            <w:lang w:val="en-US" w:eastAsia="zh-CN"/>
                          </w:rPr>
                          <w:t>446598.6</w:t>
                        </w:r>
                      </w:p>
                    </w:tc>
                  </w:tr>
                  <w:tr w14:paraId="653D99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500" w:type="pct"/>
                        <w:gridSpan w:val="2"/>
                        <w:noWrap/>
                        <w:tcMar>
                          <w:top w:w="15" w:type="dxa"/>
                          <w:left w:w="15" w:type="dxa"/>
                          <w:right w:w="15" w:type="dxa"/>
                        </w:tcMar>
                        <w:vAlign w:val="center"/>
                      </w:tcPr>
                      <w:p w14:paraId="378A40F1">
                        <w:pPr>
                          <w:spacing w:line="320" w:lineRule="exact"/>
                          <w:jc w:val="center"/>
                          <w:textAlignment w:val="baseline"/>
                          <w:rPr>
                            <w:rFonts w:hint="eastAsia"/>
                            <w:color w:val="auto"/>
                            <w:szCs w:val="21"/>
                            <w:lang w:val="en-US" w:eastAsia="zh-CN"/>
                          </w:rPr>
                        </w:pPr>
                        <w:r>
                          <w:rPr>
                            <w:rFonts w:hint="eastAsia"/>
                            <w:color w:val="auto"/>
                            <w:szCs w:val="21"/>
                            <w:lang w:eastAsia="zh-CN"/>
                          </w:rPr>
                          <w:t>大管径钢管</w:t>
                        </w:r>
                      </w:p>
                    </w:tc>
                    <w:tc>
                      <w:tcPr>
                        <w:tcW w:w="1217" w:type="pct"/>
                        <w:noWrap w:val="0"/>
                        <w:tcMar>
                          <w:top w:w="15" w:type="dxa"/>
                          <w:left w:w="15" w:type="dxa"/>
                          <w:right w:w="15" w:type="dxa"/>
                        </w:tcMar>
                        <w:vAlign w:val="center"/>
                      </w:tcPr>
                      <w:p w14:paraId="024E2B18">
                        <w:pPr>
                          <w:spacing w:line="320" w:lineRule="exact"/>
                          <w:jc w:val="center"/>
                          <w:textAlignment w:val="baseline"/>
                          <w:rPr>
                            <w:rFonts w:hint="default"/>
                            <w:color w:val="auto"/>
                            <w:szCs w:val="21"/>
                            <w:lang w:val="en-US" w:eastAsia="zh-CN"/>
                          </w:rPr>
                        </w:pPr>
                        <w:r>
                          <w:rPr>
                            <w:rFonts w:hint="eastAsia"/>
                            <w:color w:val="auto"/>
                            <w:szCs w:val="21"/>
                            <w:lang w:val="en-US" w:eastAsia="zh-CN"/>
                          </w:rPr>
                          <w:t>108200</w:t>
                        </w:r>
                      </w:p>
                    </w:tc>
                    <w:tc>
                      <w:tcPr>
                        <w:tcW w:w="1140" w:type="pct"/>
                        <w:noWrap/>
                        <w:tcMar>
                          <w:top w:w="15" w:type="dxa"/>
                          <w:left w:w="15" w:type="dxa"/>
                          <w:right w:w="15" w:type="dxa"/>
                        </w:tcMar>
                        <w:vAlign w:val="center"/>
                      </w:tcPr>
                      <w:p w14:paraId="4F05FEDB">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1141" w:type="pct"/>
                        <w:noWrap/>
                        <w:tcMar>
                          <w:top w:w="15" w:type="dxa"/>
                          <w:left w:w="15" w:type="dxa"/>
                          <w:right w:w="15" w:type="dxa"/>
                        </w:tcMar>
                        <w:vAlign w:val="center"/>
                      </w:tcPr>
                      <w:p w14:paraId="65246F56">
                        <w:pPr>
                          <w:spacing w:line="320" w:lineRule="exact"/>
                          <w:jc w:val="center"/>
                          <w:textAlignment w:val="baseline"/>
                          <w:rPr>
                            <w:rFonts w:hint="eastAsia" w:eastAsia="宋体"/>
                            <w:color w:val="auto"/>
                            <w:szCs w:val="21"/>
                            <w:lang w:val="en-US" w:eastAsia="zh-CN"/>
                          </w:rPr>
                        </w:pPr>
                        <w:r>
                          <w:rPr>
                            <w:rFonts w:hint="eastAsia"/>
                            <w:color w:val="auto"/>
                            <w:szCs w:val="21"/>
                            <w:lang w:val="en-US" w:eastAsia="zh-CN"/>
                          </w:rPr>
                          <w:t>/</w:t>
                        </w:r>
                      </w:p>
                    </w:tc>
                  </w:tr>
                  <w:tr w14:paraId="477710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500" w:type="pct"/>
                        <w:gridSpan w:val="2"/>
                        <w:noWrap/>
                        <w:tcMar>
                          <w:top w:w="15" w:type="dxa"/>
                          <w:left w:w="15" w:type="dxa"/>
                          <w:right w:w="15" w:type="dxa"/>
                        </w:tcMar>
                        <w:vAlign w:val="center"/>
                      </w:tcPr>
                      <w:p w14:paraId="4F560AC4">
                        <w:pPr>
                          <w:spacing w:line="320" w:lineRule="exact"/>
                          <w:jc w:val="center"/>
                          <w:textAlignment w:val="baseline"/>
                          <w:rPr>
                            <w:rFonts w:hint="eastAsia"/>
                            <w:color w:val="auto"/>
                            <w:szCs w:val="21"/>
                            <w:lang w:eastAsia="zh-CN"/>
                          </w:rPr>
                        </w:pPr>
                        <w:r>
                          <w:rPr>
                            <w:rFonts w:hint="eastAsia"/>
                            <w:color w:val="auto"/>
                            <w:szCs w:val="21"/>
                            <w:lang w:eastAsia="zh-CN"/>
                          </w:rPr>
                          <w:t>总计</w:t>
                        </w:r>
                      </w:p>
                    </w:tc>
                    <w:tc>
                      <w:tcPr>
                        <w:tcW w:w="1217" w:type="pct"/>
                        <w:shd w:val="clear" w:color="auto" w:fill="auto"/>
                        <w:noWrap w:val="0"/>
                        <w:tcMar>
                          <w:top w:w="15" w:type="dxa"/>
                          <w:left w:w="15" w:type="dxa"/>
                          <w:right w:w="15" w:type="dxa"/>
                        </w:tcMar>
                        <w:vAlign w:val="center"/>
                      </w:tcPr>
                      <w:p w14:paraId="26DB794B">
                        <w:pPr>
                          <w:spacing w:line="320" w:lineRule="exact"/>
                          <w:jc w:val="center"/>
                          <w:textAlignment w:val="baseline"/>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200000</w:t>
                        </w:r>
                      </w:p>
                    </w:tc>
                    <w:tc>
                      <w:tcPr>
                        <w:tcW w:w="2281" w:type="pct"/>
                        <w:gridSpan w:val="2"/>
                        <w:noWrap/>
                        <w:tcMar>
                          <w:top w:w="15" w:type="dxa"/>
                          <w:left w:w="15" w:type="dxa"/>
                          <w:right w:w="15" w:type="dxa"/>
                        </w:tcMar>
                        <w:vAlign w:val="center"/>
                      </w:tcPr>
                      <w:p w14:paraId="196BE1CA">
                        <w:pPr>
                          <w:spacing w:line="320" w:lineRule="exact"/>
                          <w:jc w:val="center"/>
                          <w:textAlignment w:val="baseline"/>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500016.74</w:t>
                        </w:r>
                      </w:p>
                    </w:tc>
                  </w:tr>
                </w:tbl>
                <w:p w14:paraId="7860EDF2">
                  <w:pPr>
                    <w:adjustRightInd w:val="0"/>
                    <w:snapToGrid w:val="0"/>
                    <w:jc w:val="center"/>
                    <w:rPr>
                      <w:rFonts w:hint="default" w:ascii="Times New Roman" w:hAnsi="Times New Roman" w:eastAsia="宋体" w:cs="Times New Roman"/>
                      <w:color w:val="auto"/>
                      <w:sz w:val="21"/>
                      <w:szCs w:val="21"/>
                    </w:rPr>
                  </w:pPr>
                </w:p>
              </w:tc>
            </w:tr>
            <w:tr w14:paraId="7F1ADA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870" w:type="pct"/>
                  <w:gridSpan w:val="2"/>
                  <w:tcBorders>
                    <w:tl2br w:val="nil"/>
                    <w:tr2bl w:val="nil"/>
                  </w:tcBorders>
                  <w:vAlign w:val="center"/>
                </w:tcPr>
                <w:p w14:paraId="3020E240">
                  <w:pPr>
                    <w:adjustRightInd w:val="0"/>
                    <w:snapToGrid w:val="0"/>
                    <w:jc w:val="center"/>
                    <w:rPr>
                      <w:color w:val="auto"/>
                      <w:szCs w:val="21"/>
                    </w:rPr>
                  </w:pPr>
                  <w:r>
                    <w:rPr>
                      <w:color w:val="auto"/>
                      <w:szCs w:val="21"/>
                    </w:rPr>
                    <w:t>实际生产能力</w:t>
                  </w:r>
                </w:p>
              </w:tc>
              <w:tc>
                <w:tcPr>
                  <w:tcW w:w="4129" w:type="pct"/>
                  <w:gridSpan w:val="5"/>
                  <w:tcBorders>
                    <w:tl2br w:val="nil"/>
                    <w:tr2bl w:val="nil"/>
                  </w:tcBorders>
                  <w:vAlign w:val="center"/>
                </w:tcPr>
                <w:tbl>
                  <w:tblPr>
                    <w:tblStyle w:val="34"/>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60"/>
                    <w:gridCol w:w="1500"/>
                    <w:gridCol w:w="1833"/>
                    <w:gridCol w:w="1714"/>
                    <w:gridCol w:w="1716"/>
                  </w:tblGrid>
                  <w:tr w14:paraId="2E37CD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1502" w:type="pct"/>
                        <w:gridSpan w:val="2"/>
                        <w:vMerge w:val="restart"/>
                        <w:noWrap w:val="0"/>
                        <w:tcMar>
                          <w:top w:w="15" w:type="dxa"/>
                          <w:left w:w="15" w:type="dxa"/>
                          <w:right w:w="15" w:type="dxa"/>
                        </w:tcMar>
                        <w:vAlign w:val="center"/>
                      </w:tcPr>
                      <w:p w14:paraId="4262FC16">
                        <w:pPr>
                          <w:pStyle w:val="127"/>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产品</w:t>
                        </w:r>
                        <w:r>
                          <w:rPr>
                            <w:rFonts w:hint="default" w:ascii="Times New Roman" w:hAnsi="Times New Roman" w:eastAsia="宋体" w:cs="Times New Roman"/>
                            <w:b/>
                            <w:bCs/>
                            <w:color w:val="auto"/>
                            <w:sz w:val="21"/>
                            <w:szCs w:val="21"/>
                            <w:lang w:eastAsia="zh-CN"/>
                          </w:rPr>
                          <w:t>名称</w:t>
                        </w:r>
                      </w:p>
                    </w:tc>
                    <w:tc>
                      <w:tcPr>
                        <w:tcW w:w="1218" w:type="pct"/>
                        <w:vMerge w:val="restart"/>
                        <w:noWrap w:val="0"/>
                        <w:tcMar>
                          <w:top w:w="15" w:type="dxa"/>
                          <w:left w:w="15" w:type="dxa"/>
                          <w:right w:w="15" w:type="dxa"/>
                        </w:tcMar>
                        <w:vAlign w:val="center"/>
                      </w:tcPr>
                      <w:p w14:paraId="6FD06367">
                        <w:pPr>
                          <w:pStyle w:val="127"/>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eastAsia="zh-CN"/>
                          </w:rPr>
                          <w:t>一期实际年</w:t>
                        </w:r>
                        <w:r>
                          <w:rPr>
                            <w:rFonts w:hint="default" w:ascii="Times New Roman" w:hAnsi="Times New Roman" w:eastAsia="宋体" w:cs="Times New Roman"/>
                            <w:b/>
                            <w:bCs/>
                            <w:color w:val="auto"/>
                            <w:sz w:val="21"/>
                            <w:szCs w:val="21"/>
                            <w:lang w:eastAsia="zh-CN"/>
                          </w:rPr>
                          <w:t>生产能力</w:t>
                        </w:r>
                        <w:r>
                          <w:rPr>
                            <w:rFonts w:hint="eastAsia" w:cs="Times New Roman"/>
                            <w:b/>
                            <w:bCs/>
                            <w:color w:val="auto"/>
                            <w:sz w:val="21"/>
                            <w:szCs w:val="21"/>
                            <w:lang w:val="en-US" w:eastAsia="zh-CN"/>
                          </w:rPr>
                          <w:t>/t</w:t>
                        </w:r>
                      </w:p>
                    </w:tc>
                    <w:tc>
                      <w:tcPr>
                        <w:tcW w:w="2279" w:type="pct"/>
                        <w:gridSpan w:val="2"/>
                        <w:noWrap w:val="0"/>
                        <w:tcMar>
                          <w:top w:w="15" w:type="dxa"/>
                          <w:left w:w="15" w:type="dxa"/>
                          <w:right w:w="15" w:type="dxa"/>
                        </w:tcMar>
                        <w:vAlign w:val="center"/>
                      </w:tcPr>
                      <w:p w14:paraId="64EDCAA1">
                        <w:pPr>
                          <w:pStyle w:val="127"/>
                          <w:rPr>
                            <w:rFonts w:hint="eastAsia" w:ascii="Times New Roman" w:hAnsi="Times New Roman" w:eastAsia="宋体" w:cs="Times New Roman"/>
                            <w:b/>
                            <w:bCs/>
                            <w:color w:val="auto"/>
                            <w:sz w:val="21"/>
                            <w:szCs w:val="21"/>
                            <w:lang w:val="en-US" w:eastAsia="zh-CN"/>
                          </w:rPr>
                        </w:pPr>
                        <w:r>
                          <w:rPr>
                            <w:rFonts w:hint="eastAsia" w:cs="Times New Roman"/>
                            <w:b/>
                            <w:bCs/>
                            <w:color w:val="auto"/>
                            <w:sz w:val="21"/>
                            <w:szCs w:val="21"/>
                            <w:lang w:eastAsia="zh-CN"/>
                          </w:rPr>
                          <w:t>一期实际</w:t>
                        </w:r>
                        <w:r>
                          <w:rPr>
                            <w:rFonts w:hint="default" w:ascii="Times New Roman" w:hAnsi="Times New Roman" w:eastAsia="宋体" w:cs="Times New Roman"/>
                            <w:b/>
                            <w:bCs/>
                            <w:color w:val="auto"/>
                            <w:sz w:val="21"/>
                            <w:szCs w:val="21"/>
                            <w:lang w:eastAsia="zh-CN"/>
                          </w:rPr>
                          <w:t>涂塑</w:t>
                        </w:r>
                        <w:r>
                          <w:rPr>
                            <w:rFonts w:hint="eastAsia" w:cs="Times New Roman"/>
                            <w:b/>
                            <w:bCs/>
                            <w:color w:val="auto"/>
                            <w:sz w:val="21"/>
                            <w:szCs w:val="21"/>
                            <w:lang w:val="en-US" w:eastAsia="zh-CN"/>
                          </w:rPr>
                          <w:t>面积/m</w:t>
                        </w:r>
                        <w:r>
                          <w:rPr>
                            <w:rFonts w:hint="eastAsia" w:cs="Times New Roman"/>
                            <w:b/>
                            <w:bCs/>
                            <w:color w:val="auto"/>
                            <w:sz w:val="21"/>
                            <w:szCs w:val="21"/>
                            <w:vertAlign w:val="superscript"/>
                            <w:lang w:val="en-US" w:eastAsia="zh-CN"/>
                          </w:rPr>
                          <w:t>2</w:t>
                        </w:r>
                      </w:p>
                    </w:tc>
                  </w:tr>
                  <w:tr w14:paraId="32A5EF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1502" w:type="pct"/>
                        <w:gridSpan w:val="2"/>
                        <w:vMerge w:val="continue"/>
                        <w:noWrap w:val="0"/>
                        <w:tcMar>
                          <w:top w:w="15" w:type="dxa"/>
                          <w:left w:w="15" w:type="dxa"/>
                          <w:right w:w="15" w:type="dxa"/>
                        </w:tcMar>
                        <w:vAlign w:val="center"/>
                      </w:tcPr>
                      <w:p w14:paraId="139BCD9A">
                        <w:pPr>
                          <w:pStyle w:val="127"/>
                        </w:pPr>
                      </w:p>
                    </w:tc>
                    <w:tc>
                      <w:tcPr>
                        <w:tcW w:w="1218" w:type="pct"/>
                        <w:vMerge w:val="continue"/>
                        <w:noWrap w:val="0"/>
                        <w:tcMar>
                          <w:top w:w="15" w:type="dxa"/>
                          <w:left w:w="15" w:type="dxa"/>
                          <w:right w:w="15" w:type="dxa"/>
                        </w:tcMar>
                        <w:vAlign w:val="center"/>
                      </w:tcPr>
                      <w:p w14:paraId="78A04B2F">
                        <w:pPr>
                          <w:pStyle w:val="127"/>
                        </w:pPr>
                      </w:p>
                    </w:tc>
                    <w:tc>
                      <w:tcPr>
                        <w:tcW w:w="1139" w:type="pct"/>
                        <w:shd w:val="clear" w:color="auto" w:fill="auto"/>
                        <w:noWrap w:val="0"/>
                        <w:tcMar>
                          <w:top w:w="15" w:type="dxa"/>
                          <w:left w:w="15" w:type="dxa"/>
                          <w:right w:w="15" w:type="dxa"/>
                        </w:tcMar>
                        <w:vAlign w:val="center"/>
                      </w:tcPr>
                      <w:p w14:paraId="66772D83">
                        <w:pPr>
                          <w:pStyle w:val="127"/>
                          <w:rPr>
                            <w:rFonts w:hint="eastAsia" w:ascii="Times New Roman" w:hAnsi="Times New Roman" w:eastAsia="宋体" w:cs="Times New Roman"/>
                            <w:b/>
                            <w:bCs/>
                            <w:color w:val="auto"/>
                            <w:kern w:val="0"/>
                            <w:sz w:val="21"/>
                            <w:szCs w:val="21"/>
                            <w:lang w:val="en-US" w:eastAsia="zh-CN" w:bidi="ar-SA"/>
                          </w:rPr>
                        </w:pPr>
                        <w:r>
                          <w:rPr>
                            <w:rFonts w:hint="eastAsia" w:cs="Times New Roman"/>
                            <w:b/>
                            <w:bCs/>
                            <w:color w:val="auto"/>
                            <w:sz w:val="21"/>
                            <w:szCs w:val="21"/>
                            <w:lang w:eastAsia="zh-CN"/>
                          </w:rPr>
                          <w:t>喷漆</w:t>
                        </w:r>
                        <w:r>
                          <w:rPr>
                            <w:rFonts w:hint="eastAsia" w:cs="Times New Roman"/>
                            <w:b/>
                            <w:bCs/>
                            <w:color w:val="auto"/>
                            <w:sz w:val="21"/>
                            <w:szCs w:val="21"/>
                            <w:lang w:val="en-US" w:eastAsia="zh-CN"/>
                          </w:rPr>
                          <w:t>面积/m</w:t>
                        </w:r>
                        <w:r>
                          <w:rPr>
                            <w:rFonts w:hint="eastAsia" w:cs="Times New Roman"/>
                            <w:b/>
                            <w:bCs/>
                            <w:color w:val="auto"/>
                            <w:sz w:val="21"/>
                            <w:szCs w:val="21"/>
                            <w:vertAlign w:val="superscript"/>
                            <w:lang w:val="en-US" w:eastAsia="zh-CN"/>
                          </w:rPr>
                          <w:t>2</w:t>
                        </w:r>
                      </w:p>
                    </w:tc>
                    <w:tc>
                      <w:tcPr>
                        <w:tcW w:w="1140" w:type="pct"/>
                        <w:shd w:val="clear" w:color="auto" w:fill="auto"/>
                        <w:noWrap w:val="0"/>
                        <w:tcMar>
                          <w:top w:w="15" w:type="dxa"/>
                          <w:left w:w="15" w:type="dxa"/>
                          <w:right w:w="15" w:type="dxa"/>
                        </w:tcMar>
                        <w:vAlign w:val="center"/>
                      </w:tcPr>
                      <w:p w14:paraId="4A3BE498">
                        <w:pPr>
                          <w:pStyle w:val="127"/>
                          <w:rPr>
                            <w:rFonts w:hint="eastAsia" w:ascii="Times New Roman" w:hAnsi="Times New Roman" w:eastAsia="宋体" w:cs="Times New Roman"/>
                            <w:b/>
                            <w:bCs/>
                            <w:color w:val="auto"/>
                            <w:kern w:val="0"/>
                            <w:sz w:val="21"/>
                            <w:szCs w:val="21"/>
                            <w:lang w:val="en-US" w:eastAsia="zh-CN" w:bidi="ar-SA"/>
                          </w:rPr>
                        </w:pPr>
                        <w:r>
                          <w:rPr>
                            <w:rFonts w:hint="eastAsia" w:cs="Times New Roman"/>
                            <w:b/>
                            <w:bCs/>
                            <w:color w:val="auto"/>
                            <w:sz w:val="21"/>
                            <w:szCs w:val="21"/>
                            <w:lang w:val="en-US" w:eastAsia="zh-CN"/>
                          </w:rPr>
                          <w:t>喷塑面积/m</w:t>
                        </w:r>
                        <w:r>
                          <w:rPr>
                            <w:rFonts w:hint="eastAsia" w:cs="Times New Roman"/>
                            <w:b/>
                            <w:bCs/>
                            <w:color w:val="auto"/>
                            <w:sz w:val="21"/>
                            <w:szCs w:val="21"/>
                            <w:vertAlign w:val="superscript"/>
                            <w:lang w:val="en-US" w:eastAsia="zh-CN"/>
                          </w:rPr>
                          <w:t>2</w:t>
                        </w:r>
                      </w:p>
                    </w:tc>
                  </w:tr>
                  <w:tr w14:paraId="5B2A0C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05" w:type="pct"/>
                        <w:vMerge w:val="restart"/>
                        <w:noWrap/>
                        <w:tcMar>
                          <w:top w:w="15" w:type="dxa"/>
                          <w:left w:w="15" w:type="dxa"/>
                          <w:right w:w="15" w:type="dxa"/>
                        </w:tcMar>
                        <w:vAlign w:val="center"/>
                      </w:tcPr>
                      <w:p w14:paraId="6CCF373F">
                        <w:pPr>
                          <w:pStyle w:val="121"/>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螺旋管</w:t>
                        </w:r>
                      </w:p>
                    </w:tc>
                    <w:tc>
                      <w:tcPr>
                        <w:tcW w:w="996" w:type="pct"/>
                        <w:noWrap/>
                        <w:tcMar>
                          <w:top w:w="15" w:type="dxa"/>
                          <w:left w:w="15" w:type="dxa"/>
                          <w:right w:w="15" w:type="dxa"/>
                        </w:tcMar>
                        <w:vAlign w:val="center"/>
                      </w:tcPr>
                      <w:p w14:paraId="1D5C74CE">
                        <w:pPr>
                          <w:spacing w:line="320" w:lineRule="exact"/>
                          <w:jc w:val="center"/>
                          <w:textAlignment w:val="baseline"/>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螺旋管</w:t>
                        </w:r>
                      </w:p>
                    </w:tc>
                    <w:tc>
                      <w:tcPr>
                        <w:tcW w:w="1218" w:type="pct"/>
                        <w:noWrap w:val="0"/>
                        <w:tcMar>
                          <w:top w:w="15" w:type="dxa"/>
                          <w:left w:w="15" w:type="dxa"/>
                          <w:right w:w="15" w:type="dxa"/>
                        </w:tcMar>
                        <w:vAlign w:val="center"/>
                      </w:tcPr>
                      <w:p w14:paraId="58896C42">
                        <w:pPr>
                          <w:spacing w:line="320" w:lineRule="exact"/>
                          <w:jc w:val="center"/>
                          <w:textAlignment w:val="baseline"/>
                          <w:rPr>
                            <w:rFonts w:hint="default" w:ascii="Times New Roman" w:hAnsi="Times New Roman" w:eastAsia="宋体" w:cs="Times New Roman"/>
                            <w:color w:val="auto"/>
                            <w:kern w:val="2"/>
                            <w:sz w:val="21"/>
                            <w:highlight w:val="none"/>
                            <w:lang w:val="en-US" w:eastAsia="zh-CN" w:bidi="ar-SA"/>
                          </w:rPr>
                        </w:pPr>
                        <w:r>
                          <w:rPr>
                            <w:rFonts w:hint="eastAsia"/>
                            <w:color w:val="auto"/>
                            <w:szCs w:val="21"/>
                            <w:lang w:val="en-US" w:eastAsia="zh-CN"/>
                          </w:rPr>
                          <w:t>89474</w:t>
                        </w:r>
                      </w:p>
                    </w:tc>
                    <w:tc>
                      <w:tcPr>
                        <w:tcW w:w="1139" w:type="pct"/>
                        <w:noWrap/>
                        <w:tcMar>
                          <w:top w:w="15" w:type="dxa"/>
                          <w:left w:w="15" w:type="dxa"/>
                          <w:right w:w="15" w:type="dxa"/>
                        </w:tcMar>
                        <w:vAlign w:val="center"/>
                      </w:tcPr>
                      <w:p w14:paraId="334DD04A">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1140" w:type="pct"/>
                        <w:noWrap/>
                        <w:tcMar>
                          <w:top w:w="15" w:type="dxa"/>
                          <w:left w:w="15" w:type="dxa"/>
                          <w:right w:w="15" w:type="dxa"/>
                        </w:tcMar>
                        <w:vAlign w:val="center"/>
                      </w:tcPr>
                      <w:p w14:paraId="1D2F427C">
                        <w:pPr>
                          <w:spacing w:line="320" w:lineRule="exact"/>
                          <w:jc w:val="center"/>
                          <w:textAlignment w:val="baseline"/>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2F835E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05" w:type="pct"/>
                        <w:vMerge w:val="continue"/>
                        <w:noWrap/>
                        <w:tcMar>
                          <w:top w:w="15" w:type="dxa"/>
                          <w:left w:w="15" w:type="dxa"/>
                          <w:right w:w="15" w:type="dxa"/>
                        </w:tcMar>
                        <w:vAlign w:val="center"/>
                      </w:tcPr>
                      <w:p w14:paraId="4B2EE568">
                        <w:pPr>
                          <w:pStyle w:val="121"/>
                          <w:rPr>
                            <w:rFonts w:hint="eastAsia" w:cs="Times New Roman"/>
                            <w:color w:val="auto"/>
                            <w:sz w:val="21"/>
                            <w:szCs w:val="21"/>
                            <w:lang w:val="en-US" w:eastAsia="zh-CN"/>
                          </w:rPr>
                        </w:pPr>
                      </w:p>
                    </w:tc>
                    <w:tc>
                      <w:tcPr>
                        <w:tcW w:w="996" w:type="pct"/>
                        <w:noWrap/>
                        <w:tcMar>
                          <w:top w:w="15" w:type="dxa"/>
                          <w:left w:w="15" w:type="dxa"/>
                          <w:right w:w="15" w:type="dxa"/>
                        </w:tcMar>
                        <w:vAlign w:val="center"/>
                      </w:tcPr>
                      <w:p w14:paraId="25BAB610">
                        <w:pPr>
                          <w:spacing w:line="320" w:lineRule="exact"/>
                          <w:jc w:val="center"/>
                          <w:textAlignment w:val="baseline"/>
                          <w:rPr>
                            <w:rFonts w:hint="eastAsia" w:cs="Times New Roman"/>
                            <w:color w:val="auto"/>
                            <w:sz w:val="21"/>
                            <w:szCs w:val="21"/>
                            <w:lang w:eastAsia="zh-CN"/>
                          </w:rPr>
                        </w:pPr>
                        <w:r>
                          <w:rPr>
                            <w:rFonts w:hint="eastAsia" w:cs="Times New Roman"/>
                            <w:color w:val="auto"/>
                            <w:sz w:val="21"/>
                            <w:szCs w:val="21"/>
                            <w:lang w:eastAsia="zh-CN"/>
                          </w:rPr>
                          <w:t>喷漆</w:t>
                        </w:r>
                        <w:r>
                          <w:rPr>
                            <w:rFonts w:hint="eastAsia"/>
                            <w:color w:val="auto"/>
                            <w:szCs w:val="21"/>
                            <w:lang w:eastAsia="zh-CN"/>
                          </w:rPr>
                          <w:t>防腐螺旋管</w:t>
                        </w:r>
                      </w:p>
                    </w:tc>
                    <w:tc>
                      <w:tcPr>
                        <w:tcW w:w="1218" w:type="pct"/>
                        <w:noWrap w:val="0"/>
                        <w:tcMar>
                          <w:top w:w="15" w:type="dxa"/>
                          <w:left w:w="15" w:type="dxa"/>
                          <w:right w:w="15" w:type="dxa"/>
                        </w:tcMar>
                        <w:vAlign w:val="center"/>
                      </w:tcPr>
                      <w:p w14:paraId="15FA196E">
                        <w:pPr>
                          <w:spacing w:line="320" w:lineRule="exact"/>
                          <w:jc w:val="center"/>
                          <w:textAlignment w:val="baseline"/>
                          <w:rPr>
                            <w:rFonts w:hint="default"/>
                            <w:color w:val="auto"/>
                            <w:szCs w:val="21"/>
                            <w:lang w:val="en-US" w:eastAsia="zh-CN"/>
                          </w:rPr>
                        </w:pPr>
                        <w:r>
                          <w:rPr>
                            <w:rFonts w:hint="eastAsia"/>
                            <w:color w:val="auto"/>
                            <w:szCs w:val="21"/>
                            <w:lang w:val="en-US" w:eastAsia="zh-CN"/>
                          </w:rPr>
                          <w:t>0</w:t>
                        </w:r>
                      </w:p>
                    </w:tc>
                    <w:tc>
                      <w:tcPr>
                        <w:tcW w:w="1139" w:type="pct"/>
                        <w:noWrap/>
                        <w:tcMar>
                          <w:top w:w="15" w:type="dxa"/>
                          <w:left w:w="15" w:type="dxa"/>
                          <w:right w:w="15" w:type="dxa"/>
                        </w:tcMar>
                        <w:vAlign w:val="center"/>
                      </w:tcPr>
                      <w:p w14:paraId="1EDAC583">
                        <w:pPr>
                          <w:spacing w:line="320" w:lineRule="exact"/>
                          <w:jc w:val="center"/>
                          <w:textAlignment w:val="baseline"/>
                          <w:rPr>
                            <w:rFonts w:hint="default"/>
                            <w:color w:val="auto"/>
                            <w:szCs w:val="21"/>
                            <w:lang w:val="en-US" w:eastAsia="zh-CN"/>
                          </w:rPr>
                        </w:pPr>
                        <w:r>
                          <w:rPr>
                            <w:rFonts w:hint="eastAsia"/>
                            <w:color w:val="auto"/>
                            <w:szCs w:val="21"/>
                            <w:lang w:val="en-US" w:eastAsia="zh-CN"/>
                          </w:rPr>
                          <w:t>0</w:t>
                        </w:r>
                      </w:p>
                    </w:tc>
                    <w:tc>
                      <w:tcPr>
                        <w:tcW w:w="1140" w:type="pct"/>
                        <w:noWrap/>
                        <w:tcMar>
                          <w:top w:w="15" w:type="dxa"/>
                          <w:left w:w="15" w:type="dxa"/>
                          <w:right w:w="15" w:type="dxa"/>
                        </w:tcMar>
                        <w:vAlign w:val="center"/>
                      </w:tcPr>
                      <w:p w14:paraId="67C0512E">
                        <w:pPr>
                          <w:spacing w:line="320" w:lineRule="exact"/>
                          <w:jc w:val="center"/>
                          <w:textAlignment w:val="baseline"/>
                          <w:rPr>
                            <w:rFonts w:hint="eastAsia"/>
                            <w:color w:val="auto"/>
                            <w:szCs w:val="21"/>
                          </w:rPr>
                        </w:pPr>
                        <w:r>
                          <w:rPr>
                            <w:rFonts w:hint="eastAsia"/>
                            <w:color w:val="auto"/>
                            <w:szCs w:val="21"/>
                            <w:lang w:val="en-US" w:eastAsia="zh-CN"/>
                          </w:rPr>
                          <w:t>/</w:t>
                        </w:r>
                      </w:p>
                    </w:tc>
                  </w:tr>
                  <w:tr w14:paraId="264E85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05" w:type="pct"/>
                        <w:vMerge w:val="continue"/>
                        <w:noWrap/>
                        <w:tcMar>
                          <w:top w:w="15" w:type="dxa"/>
                          <w:left w:w="15" w:type="dxa"/>
                          <w:right w:w="15" w:type="dxa"/>
                        </w:tcMar>
                        <w:vAlign w:val="center"/>
                      </w:tcPr>
                      <w:p w14:paraId="62525FB9">
                        <w:pPr>
                          <w:pStyle w:val="121"/>
                          <w:rPr>
                            <w:rFonts w:hint="default" w:ascii="Times New Roman" w:hAnsi="Times New Roman" w:eastAsia="宋体" w:cs="Times New Roman"/>
                            <w:color w:val="auto"/>
                            <w:sz w:val="21"/>
                            <w:szCs w:val="21"/>
                            <w:lang w:val="en-US" w:eastAsia="zh-CN"/>
                          </w:rPr>
                        </w:pPr>
                      </w:p>
                    </w:tc>
                    <w:tc>
                      <w:tcPr>
                        <w:tcW w:w="996" w:type="pct"/>
                        <w:noWrap/>
                        <w:tcMar>
                          <w:top w:w="15" w:type="dxa"/>
                          <w:left w:w="15" w:type="dxa"/>
                          <w:right w:w="15" w:type="dxa"/>
                        </w:tcMar>
                        <w:vAlign w:val="center"/>
                      </w:tcPr>
                      <w:p w14:paraId="1DD3A713">
                        <w:pPr>
                          <w:spacing w:line="320" w:lineRule="exact"/>
                          <w:jc w:val="center"/>
                          <w:textAlignment w:val="baseline"/>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喷塑</w:t>
                        </w:r>
                        <w:r>
                          <w:rPr>
                            <w:rFonts w:hint="eastAsia"/>
                            <w:color w:val="auto"/>
                            <w:szCs w:val="21"/>
                            <w:lang w:eastAsia="zh-CN"/>
                          </w:rPr>
                          <w:t>防腐螺旋管</w:t>
                        </w:r>
                      </w:p>
                    </w:tc>
                    <w:tc>
                      <w:tcPr>
                        <w:tcW w:w="1218" w:type="pct"/>
                        <w:noWrap w:val="0"/>
                        <w:tcMar>
                          <w:top w:w="15" w:type="dxa"/>
                          <w:left w:w="15" w:type="dxa"/>
                          <w:right w:w="15" w:type="dxa"/>
                        </w:tcMar>
                        <w:vAlign w:val="center"/>
                      </w:tcPr>
                      <w:p w14:paraId="628BF458">
                        <w:pPr>
                          <w:spacing w:line="320" w:lineRule="exact"/>
                          <w:jc w:val="center"/>
                          <w:textAlignment w:val="baseline"/>
                          <w:rPr>
                            <w:rFonts w:hint="default" w:ascii="Times New Roman" w:hAnsi="Times New Roman" w:eastAsia="宋体" w:cs="Times New Roman"/>
                            <w:color w:val="auto"/>
                            <w:sz w:val="21"/>
                            <w:szCs w:val="21"/>
                          </w:rPr>
                        </w:pPr>
                        <w:r>
                          <w:rPr>
                            <w:rFonts w:hint="eastAsia"/>
                            <w:color w:val="auto"/>
                            <w:szCs w:val="21"/>
                            <w:lang w:val="en-US" w:eastAsia="zh-CN"/>
                          </w:rPr>
                          <w:t>84</w:t>
                        </w:r>
                      </w:p>
                    </w:tc>
                    <w:tc>
                      <w:tcPr>
                        <w:tcW w:w="1139" w:type="pct"/>
                        <w:noWrap/>
                        <w:tcMar>
                          <w:top w:w="15" w:type="dxa"/>
                          <w:left w:w="15" w:type="dxa"/>
                          <w:right w:w="15" w:type="dxa"/>
                        </w:tcMar>
                        <w:vAlign w:val="center"/>
                      </w:tcPr>
                      <w:p w14:paraId="40B5D137">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1140" w:type="pct"/>
                        <w:noWrap/>
                        <w:tcMar>
                          <w:top w:w="15" w:type="dxa"/>
                          <w:left w:w="15" w:type="dxa"/>
                          <w:right w:w="15" w:type="dxa"/>
                        </w:tcMar>
                        <w:vAlign w:val="center"/>
                      </w:tcPr>
                      <w:p w14:paraId="569ED538">
                        <w:pPr>
                          <w:spacing w:line="320" w:lineRule="exact"/>
                          <w:jc w:val="center"/>
                          <w:textAlignment w:val="baseline"/>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29340.64</w:t>
                        </w:r>
                      </w:p>
                    </w:tc>
                  </w:tr>
                  <w:tr w14:paraId="662FC6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505" w:type="pct"/>
                        <w:vMerge w:val="continue"/>
                        <w:noWrap/>
                        <w:tcMar>
                          <w:top w:w="15" w:type="dxa"/>
                          <w:left w:w="15" w:type="dxa"/>
                          <w:right w:w="15" w:type="dxa"/>
                        </w:tcMar>
                        <w:vAlign w:val="center"/>
                      </w:tcPr>
                      <w:p w14:paraId="55F7B134">
                        <w:pPr>
                          <w:pStyle w:val="121"/>
                          <w:rPr>
                            <w:rFonts w:hint="default" w:ascii="Times New Roman" w:hAnsi="Times New Roman" w:eastAsia="宋体" w:cs="Times New Roman"/>
                            <w:color w:val="auto"/>
                            <w:sz w:val="21"/>
                            <w:szCs w:val="21"/>
                            <w:lang w:val="en-US" w:eastAsia="zh-CN"/>
                          </w:rPr>
                        </w:pPr>
                      </w:p>
                    </w:tc>
                    <w:tc>
                      <w:tcPr>
                        <w:tcW w:w="996" w:type="pct"/>
                        <w:noWrap/>
                        <w:tcMar>
                          <w:top w:w="15" w:type="dxa"/>
                          <w:left w:w="15" w:type="dxa"/>
                          <w:right w:w="15" w:type="dxa"/>
                        </w:tcMar>
                        <w:vAlign w:val="center"/>
                      </w:tcPr>
                      <w:p w14:paraId="62F6EA3B">
                        <w:pPr>
                          <w:spacing w:line="320" w:lineRule="exact"/>
                          <w:jc w:val="center"/>
                          <w:textAlignment w:val="baseline"/>
                          <w:rPr>
                            <w:rFonts w:hint="eastAsia" w:cs="Times New Roman"/>
                            <w:color w:val="auto"/>
                            <w:sz w:val="21"/>
                            <w:szCs w:val="21"/>
                            <w:lang w:eastAsia="zh-CN"/>
                          </w:rPr>
                        </w:pPr>
                        <w:r>
                          <w:rPr>
                            <w:rFonts w:hint="eastAsia"/>
                            <w:color w:val="auto"/>
                            <w:szCs w:val="21"/>
                            <w:lang w:val="en-US" w:eastAsia="zh-CN"/>
                          </w:rPr>
                          <w:t>3PE防腐</w:t>
                        </w:r>
                        <w:r>
                          <w:rPr>
                            <w:rFonts w:hint="eastAsia"/>
                            <w:color w:val="auto"/>
                            <w:szCs w:val="21"/>
                            <w:lang w:eastAsia="zh-CN"/>
                          </w:rPr>
                          <w:t>螺旋管</w:t>
                        </w:r>
                      </w:p>
                    </w:tc>
                    <w:tc>
                      <w:tcPr>
                        <w:tcW w:w="1218" w:type="pct"/>
                        <w:noWrap w:val="0"/>
                        <w:tcMar>
                          <w:top w:w="15" w:type="dxa"/>
                          <w:left w:w="15" w:type="dxa"/>
                          <w:right w:w="15" w:type="dxa"/>
                        </w:tcMar>
                        <w:vAlign w:val="center"/>
                      </w:tcPr>
                      <w:p w14:paraId="0D3754A7">
                        <w:pPr>
                          <w:spacing w:line="320" w:lineRule="exact"/>
                          <w:jc w:val="center"/>
                          <w:textAlignment w:val="baseline"/>
                          <w:rPr>
                            <w:rFonts w:hint="default"/>
                            <w:color w:val="auto"/>
                            <w:szCs w:val="21"/>
                            <w:lang w:val="en-US" w:eastAsia="zh-CN"/>
                          </w:rPr>
                        </w:pPr>
                        <w:r>
                          <w:rPr>
                            <w:rFonts w:hint="eastAsia"/>
                            <w:color w:val="auto"/>
                            <w:szCs w:val="21"/>
                            <w:lang w:val="en-US" w:eastAsia="zh-CN"/>
                          </w:rPr>
                          <w:t>2242</w:t>
                        </w:r>
                      </w:p>
                    </w:tc>
                    <w:tc>
                      <w:tcPr>
                        <w:tcW w:w="1139" w:type="pct"/>
                        <w:noWrap/>
                        <w:tcMar>
                          <w:top w:w="15" w:type="dxa"/>
                          <w:left w:w="15" w:type="dxa"/>
                          <w:right w:w="15" w:type="dxa"/>
                        </w:tcMar>
                        <w:vAlign w:val="center"/>
                      </w:tcPr>
                      <w:p w14:paraId="7C0014D9">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1140" w:type="pct"/>
                        <w:noWrap/>
                        <w:tcMar>
                          <w:top w:w="15" w:type="dxa"/>
                          <w:left w:w="15" w:type="dxa"/>
                          <w:right w:w="15" w:type="dxa"/>
                        </w:tcMar>
                        <w:vAlign w:val="center"/>
                      </w:tcPr>
                      <w:p w14:paraId="2A354256">
                        <w:pPr>
                          <w:spacing w:line="320" w:lineRule="exact"/>
                          <w:jc w:val="center"/>
                          <w:textAlignment w:val="baseline"/>
                          <w:rPr>
                            <w:rFonts w:hint="eastAsia"/>
                            <w:color w:val="auto"/>
                            <w:szCs w:val="21"/>
                          </w:rPr>
                        </w:pPr>
                        <w:r>
                          <w:rPr>
                            <w:rFonts w:hint="eastAsia"/>
                            <w:color w:val="auto"/>
                            <w:szCs w:val="21"/>
                            <w:lang w:val="en-US" w:eastAsia="zh-CN"/>
                          </w:rPr>
                          <w:t>446598.6</w:t>
                        </w:r>
                      </w:p>
                    </w:tc>
                  </w:tr>
                  <w:tr w14:paraId="3A113C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502" w:type="pct"/>
                        <w:gridSpan w:val="2"/>
                        <w:noWrap/>
                        <w:tcMar>
                          <w:top w:w="15" w:type="dxa"/>
                          <w:left w:w="15" w:type="dxa"/>
                          <w:right w:w="15" w:type="dxa"/>
                        </w:tcMar>
                        <w:vAlign w:val="center"/>
                      </w:tcPr>
                      <w:p w14:paraId="53A785FF">
                        <w:pPr>
                          <w:spacing w:line="320" w:lineRule="exact"/>
                          <w:jc w:val="center"/>
                          <w:textAlignment w:val="baseline"/>
                          <w:rPr>
                            <w:rFonts w:hint="eastAsia"/>
                            <w:color w:val="auto"/>
                            <w:szCs w:val="21"/>
                            <w:lang w:val="en-US" w:eastAsia="zh-CN"/>
                          </w:rPr>
                        </w:pPr>
                        <w:r>
                          <w:rPr>
                            <w:rFonts w:hint="eastAsia"/>
                            <w:color w:val="auto"/>
                            <w:szCs w:val="21"/>
                            <w:lang w:eastAsia="zh-CN"/>
                          </w:rPr>
                          <w:t>大管径钢管</w:t>
                        </w:r>
                      </w:p>
                    </w:tc>
                    <w:tc>
                      <w:tcPr>
                        <w:tcW w:w="1218" w:type="pct"/>
                        <w:noWrap w:val="0"/>
                        <w:tcMar>
                          <w:top w:w="15" w:type="dxa"/>
                          <w:left w:w="15" w:type="dxa"/>
                          <w:right w:w="15" w:type="dxa"/>
                        </w:tcMar>
                        <w:vAlign w:val="center"/>
                      </w:tcPr>
                      <w:p w14:paraId="2ACC4BF7">
                        <w:pPr>
                          <w:spacing w:line="320" w:lineRule="exact"/>
                          <w:jc w:val="center"/>
                          <w:textAlignment w:val="baseline"/>
                          <w:rPr>
                            <w:rFonts w:hint="default"/>
                            <w:color w:val="auto"/>
                            <w:szCs w:val="21"/>
                            <w:lang w:val="en-US" w:eastAsia="zh-CN"/>
                          </w:rPr>
                        </w:pPr>
                        <w:r>
                          <w:rPr>
                            <w:rFonts w:hint="eastAsia"/>
                            <w:color w:val="auto"/>
                            <w:szCs w:val="21"/>
                            <w:lang w:val="en-US" w:eastAsia="zh-CN"/>
                          </w:rPr>
                          <w:t>108200</w:t>
                        </w:r>
                      </w:p>
                    </w:tc>
                    <w:tc>
                      <w:tcPr>
                        <w:tcW w:w="1139" w:type="pct"/>
                        <w:noWrap/>
                        <w:tcMar>
                          <w:top w:w="15" w:type="dxa"/>
                          <w:left w:w="15" w:type="dxa"/>
                          <w:right w:w="15" w:type="dxa"/>
                        </w:tcMar>
                        <w:vAlign w:val="center"/>
                      </w:tcPr>
                      <w:p w14:paraId="7376B928">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1140" w:type="pct"/>
                        <w:noWrap/>
                        <w:tcMar>
                          <w:top w:w="15" w:type="dxa"/>
                          <w:left w:w="15" w:type="dxa"/>
                          <w:right w:w="15" w:type="dxa"/>
                        </w:tcMar>
                        <w:vAlign w:val="center"/>
                      </w:tcPr>
                      <w:p w14:paraId="3ACDAB8F">
                        <w:pPr>
                          <w:spacing w:line="320" w:lineRule="exact"/>
                          <w:jc w:val="center"/>
                          <w:textAlignment w:val="baseline"/>
                          <w:rPr>
                            <w:rFonts w:hint="default"/>
                            <w:color w:val="auto"/>
                            <w:szCs w:val="21"/>
                            <w:lang w:val="en-US"/>
                          </w:rPr>
                        </w:pPr>
                        <w:r>
                          <w:rPr>
                            <w:rFonts w:hint="eastAsia"/>
                            <w:color w:val="auto"/>
                            <w:szCs w:val="21"/>
                            <w:lang w:val="en-US" w:eastAsia="zh-CN"/>
                          </w:rPr>
                          <w:t>/</w:t>
                        </w:r>
                      </w:p>
                    </w:tc>
                  </w:tr>
                  <w:tr w14:paraId="1850BB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502" w:type="pct"/>
                        <w:gridSpan w:val="2"/>
                        <w:noWrap/>
                        <w:tcMar>
                          <w:top w:w="15" w:type="dxa"/>
                          <w:left w:w="15" w:type="dxa"/>
                          <w:right w:w="15" w:type="dxa"/>
                        </w:tcMar>
                        <w:vAlign w:val="center"/>
                      </w:tcPr>
                      <w:p w14:paraId="2428F1F1">
                        <w:pPr>
                          <w:spacing w:line="320" w:lineRule="exact"/>
                          <w:jc w:val="center"/>
                          <w:textAlignment w:val="baseline"/>
                          <w:rPr>
                            <w:rFonts w:hint="eastAsia"/>
                            <w:color w:val="auto"/>
                            <w:szCs w:val="21"/>
                            <w:lang w:eastAsia="zh-CN"/>
                          </w:rPr>
                        </w:pPr>
                        <w:r>
                          <w:rPr>
                            <w:rFonts w:hint="eastAsia"/>
                            <w:color w:val="auto"/>
                            <w:szCs w:val="21"/>
                            <w:lang w:eastAsia="zh-CN"/>
                          </w:rPr>
                          <w:t>总计</w:t>
                        </w:r>
                      </w:p>
                    </w:tc>
                    <w:tc>
                      <w:tcPr>
                        <w:tcW w:w="1218" w:type="pct"/>
                        <w:shd w:val="clear" w:color="auto" w:fill="auto"/>
                        <w:noWrap w:val="0"/>
                        <w:tcMar>
                          <w:top w:w="15" w:type="dxa"/>
                          <w:left w:w="15" w:type="dxa"/>
                          <w:right w:w="15" w:type="dxa"/>
                        </w:tcMar>
                        <w:vAlign w:val="center"/>
                      </w:tcPr>
                      <w:p w14:paraId="633A67CE">
                        <w:pPr>
                          <w:spacing w:line="320" w:lineRule="exact"/>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200000</w:t>
                        </w:r>
                      </w:p>
                    </w:tc>
                    <w:tc>
                      <w:tcPr>
                        <w:tcW w:w="2279" w:type="pct"/>
                        <w:gridSpan w:val="2"/>
                        <w:shd w:val="clear" w:color="auto" w:fill="auto"/>
                        <w:noWrap/>
                        <w:tcMar>
                          <w:top w:w="15" w:type="dxa"/>
                          <w:left w:w="15" w:type="dxa"/>
                          <w:right w:w="15" w:type="dxa"/>
                        </w:tcMar>
                        <w:vAlign w:val="center"/>
                      </w:tcPr>
                      <w:p w14:paraId="35EAB3AF">
                        <w:pPr>
                          <w:spacing w:line="320" w:lineRule="exact"/>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475939.24</w:t>
                        </w:r>
                      </w:p>
                    </w:tc>
                  </w:tr>
                </w:tbl>
                <w:p w14:paraId="5C01A396">
                  <w:pPr>
                    <w:adjustRightInd w:val="0"/>
                    <w:snapToGrid w:val="0"/>
                    <w:jc w:val="center"/>
                    <w:rPr>
                      <w:rFonts w:hint="default" w:ascii="Times New Roman" w:hAnsi="Times New Roman" w:eastAsia="宋体" w:cs="Times New Roman"/>
                      <w:color w:val="auto"/>
                      <w:sz w:val="21"/>
                      <w:szCs w:val="21"/>
                    </w:rPr>
                  </w:pPr>
                </w:p>
              </w:tc>
            </w:tr>
            <w:tr w14:paraId="62BACB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pct"/>
                  <w:gridSpan w:val="2"/>
                  <w:tcBorders>
                    <w:tl2br w:val="nil"/>
                    <w:tr2bl w:val="nil"/>
                  </w:tcBorders>
                  <w:vAlign w:val="center"/>
                </w:tcPr>
                <w:p w14:paraId="6593774C">
                  <w:pPr>
                    <w:adjustRightInd w:val="0"/>
                    <w:snapToGrid w:val="0"/>
                    <w:jc w:val="center"/>
                    <w:rPr>
                      <w:color w:val="auto"/>
                      <w:szCs w:val="21"/>
                    </w:rPr>
                  </w:pPr>
                  <w:r>
                    <w:rPr>
                      <w:color w:val="auto"/>
                      <w:szCs w:val="21"/>
                    </w:rPr>
                    <w:t>环评时间</w:t>
                  </w:r>
                </w:p>
              </w:tc>
              <w:tc>
                <w:tcPr>
                  <w:tcW w:w="1609" w:type="pct"/>
                  <w:tcBorders>
                    <w:tl2br w:val="nil"/>
                    <w:tr2bl w:val="nil"/>
                  </w:tcBorders>
                  <w:vAlign w:val="center"/>
                </w:tcPr>
                <w:p w14:paraId="059C5A3B">
                  <w:pPr>
                    <w:adjustRightInd w:val="0"/>
                    <w:snapToGrid w:val="0"/>
                    <w:jc w:val="center"/>
                    <w:rPr>
                      <w:rFonts w:hint="eastAsia"/>
                      <w:color w:val="auto"/>
                      <w:szCs w:val="21"/>
                    </w:rPr>
                  </w:pPr>
                  <w:r>
                    <w:rPr>
                      <w:rFonts w:hint="eastAsia"/>
                      <w:color w:val="auto"/>
                      <w:szCs w:val="21"/>
                    </w:rPr>
                    <w:t>2</w:t>
                  </w:r>
                  <w:r>
                    <w:rPr>
                      <w:rFonts w:hint="eastAsia"/>
                      <w:color w:val="auto"/>
                      <w:szCs w:val="21"/>
                      <w:lang w:val="en-US" w:eastAsia="zh-CN"/>
                    </w:rPr>
                    <w:t>024</w:t>
                  </w:r>
                  <w:r>
                    <w:rPr>
                      <w:rFonts w:hint="eastAsia"/>
                      <w:color w:val="auto"/>
                      <w:szCs w:val="21"/>
                    </w:rPr>
                    <w:t>年</w:t>
                  </w:r>
                  <w:r>
                    <w:rPr>
                      <w:rFonts w:hint="eastAsia"/>
                      <w:color w:val="auto"/>
                      <w:szCs w:val="21"/>
                      <w:lang w:val="en-US" w:eastAsia="zh-CN"/>
                    </w:rPr>
                    <w:t>6</w:t>
                  </w:r>
                  <w:r>
                    <w:rPr>
                      <w:rFonts w:hint="eastAsia"/>
                      <w:color w:val="auto"/>
                      <w:szCs w:val="21"/>
                    </w:rPr>
                    <w:t>月</w:t>
                  </w:r>
                </w:p>
              </w:tc>
              <w:tc>
                <w:tcPr>
                  <w:tcW w:w="817" w:type="pct"/>
                  <w:tcBorders>
                    <w:tl2br w:val="nil"/>
                    <w:tr2bl w:val="nil"/>
                  </w:tcBorders>
                  <w:vAlign w:val="center"/>
                </w:tcPr>
                <w:p w14:paraId="1699D32D">
                  <w:pPr>
                    <w:adjustRightInd w:val="0"/>
                    <w:snapToGrid w:val="0"/>
                    <w:jc w:val="center"/>
                    <w:rPr>
                      <w:color w:val="auto"/>
                      <w:szCs w:val="21"/>
                    </w:rPr>
                  </w:pPr>
                  <w:r>
                    <w:rPr>
                      <w:color w:val="auto"/>
                      <w:szCs w:val="21"/>
                    </w:rPr>
                    <w:t>开工日期</w:t>
                  </w:r>
                </w:p>
              </w:tc>
              <w:tc>
                <w:tcPr>
                  <w:tcW w:w="1702" w:type="pct"/>
                  <w:gridSpan w:val="3"/>
                  <w:tcBorders>
                    <w:tl2br w:val="nil"/>
                    <w:tr2bl w:val="nil"/>
                  </w:tcBorders>
                  <w:vAlign w:val="center"/>
                </w:tcPr>
                <w:p w14:paraId="31D06932">
                  <w:pPr>
                    <w:adjustRightInd w:val="0"/>
                    <w:snapToGrid w:val="0"/>
                    <w:jc w:val="center"/>
                    <w:rPr>
                      <w:rFonts w:hint="eastAsia"/>
                      <w:color w:val="auto"/>
                      <w:szCs w:val="21"/>
                    </w:rPr>
                  </w:pPr>
                  <w:r>
                    <w:rPr>
                      <w:rFonts w:hint="eastAsia"/>
                      <w:color w:val="auto"/>
                      <w:szCs w:val="21"/>
                    </w:rPr>
                    <w:t>2</w:t>
                  </w:r>
                  <w:r>
                    <w:rPr>
                      <w:rFonts w:hint="eastAsia"/>
                      <w:color w:val="auto"/>
                      <w:szCs w:val="21"/>
                      <w:lang w:val="en-US" w:eastAsia="zh-CN"/>
                    </w:rPr>
                    <w:t>024</w:t>
                  </w:r>
                  <w:r>
                    <w:rPr>
                      <w:rFonts w:hint="eastAsia"/>
                      <w:color w:val="auto"/>
                      <w:szCs w:val="21"/>
                    </w:rPr>
                    <w:t>年</w:t>
                  </w:r>
                  <w:r>
                    <w:rPr>
                      <w:rFonts w:hint="eastAsia"/>
                      <w:color w:val="auto"/>
                      <w:szCs w:val="21"/>
                      <w:lang w:val="en-US" w:eastAsia="zh-CN"/>
                    </w:rPr>
                    <w:t>7</w:t>
                  </w:r>
                  <w:r>
                    <w:rPr>
                      <w:rFonts w:hint="eastAsia"/>
                      <w:color w:val="auto"/>
                      <w:szCs w:val="21"/>
                    </w:rPr>
                    <w:t>月</w:t>
                  </w:r>
                </w:p>
              </w:tc>
            </w:tr>
            <w:tr w14:paraId="3F62C3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70" w:type="pct"/>
                  <w:gridSpan w:val="2"/>
                  <w:tcBorders>
                    <w:tl2br w:val="nil"/>
                    <w:tr2bl w:val="nil"/>
                  </w:tcBorders>
                  <w:vAlign w:val="center"/>
                </w:tcPr>
                <w:p w14:paraId="5BFC1978">
                  <w:pPr>
                    <w:adjustRightInd w:val="0"/>
                    <w:snapToGrid w:val="0"/>
                    <w:jc w:val="center"/>
                    <w:rPr>
                      <w:color w:val="auto"/>
                      <w:szCs w:val="21"/>
                    </w:rPr>
                  </w:pPr>
                  <w:r>
                    <w:rPr>
                      <w:color w:val="auto"/>
                      <w:szCs w:val="21"/>
                    </w:rPr>
                    <w:t>投入试生产时间</w:t>
                  </w:r>
                </w:p>
              </w:tc>
              <w:tc>
                <w:tcPr>
                  <w:tcW w:w="1609" w:type="pct"/>
                  <w:tcBorders>
                    <w:tl2br w:val="nil"/>
                    <w:tr2bl w:val="nil"/>
                  </w:tcBorders>
                  <w:vAlign w:val="center"/>
                </w:tcPr>
                <w:p w14:paraId="5C6EC1E4">
                  <w:pPr>
                    <w:adjustRightInd w:val="0"/>
                    <w:snapToGrid w:val="0"/>
                    <w:jc w:val="center"/>
                    <w:rPr>
                      <w:rFonts w:hint="eastAsia"/>
                      <w:color w:val="auto"/>
                      <w:szCs w:val="21"/>
                    </w:rPr>
                  </w:pPr>
                  <w:r>
                    <w:rPr>
                      <w:rFonts w:hint="eastAsia"/>
                      <w:color w:val="auto"/>
                      <w:szCs w:val="21"/>
                    </w:rPr>
                    <w:t>2</w:t>
                  </w:r>
                  <w:r>
                    <w:rPr>
                      <w:rFonts w:hint="eastAsia"/>
                      <w:color w:val="auto"/>
                      <w:szCs w:val="21"/>
                      <w:lang w:val="en-US" w:eastAsia="zh-CN"/>
                    </w:rPr>
                    <w:t>026</w:t>
                  </w:r>
                  <w:r>
                    <w:rPr>
                      <w:rFonts w:hint="eastAsia"/>
                      <w:color w:val="auto"/>
                      <w:szCs w:val="21"/>
                    </w:rPr>
                    <w:t>年</w:t>
                  </w:r>
                  <w:r>
                    <w:rPr>
                      <w:rFonts w:hint="eastAsia"/>
                      <w:color w:val="auto"/>
                      <w:szCs w:val="21"/>
                      <w:lang w:val="en-US" w:eastAsia="zh-CN"/>
                    </w:rPr>
                    <w:t>5</w:t>
                  </w:r>
                  <w:r>
                    <w:rPr>
                      <w:rFonts w:hint="eastAsia"/>
                      <w:color w:val="auto"/>
                      <w:szCs w:val="21"/>
                    </w:rPr>
                    <w:t>月</w:t>
                  </w:r>
                </w:p>
              </w:tc>
              <w:tc>
                <w:tcPr>
                  <w:tcW w:w="817" w:type="pct"/>
                  <w:tcBorders>
                    <w:tl2br w:val="nil"/>
                    <w:tr2bl w:val="nil"/>
                  </w:tcBorders>
                  <w:vAlign w:val="center"/>
                </w:tcPr>
                <w:p w14:paraId="4EF21ADE">
                  <w:pPr>
                    <w:adjustRightInd w:val="0"/>
                    <w:snapToGrid w:val="0"/>
                    <w:jc w:val="center"/>
                    <w:rPr>
                      <w:color w:val="auto"/>
                      <w:szCs w:val="21"/>
                    </w:rPr>
                  </w:pPr>
                  <w:r>
                    <w:rPr>
                      <w:color w:val="auto"/>
                      <w:szCs w:val="21"/>
                    </w:rPr>
                    <w:t>现场监测时间</w:t>
                  </w:r>
                </w:p>
              </w:tc>
              <w:tc>
                <w:tcPr>
                  <w:tcW w:w="1702" w:type="pct"/>
                  <w:gridSpan w:val="3"/>
                  <w:tcBorders>
                    <w:tl2br w:val="nil"/>
                    <w:tr2bl w:val="nil"/>
                  </w:tcBorders>
                  <w:vAlign w:val="center"/>
                </w:tcPr>
                <w:p w14:paraId="7F7B0F19">
                  <w:pPr>
                    <w:adjustRightInd w:val="0"/>
                    <w:snapToGrid w:val="0"/>
                    <w:jc w:val="center"/>
                    <w:rPr>
                      <w:rFonts w:hint="default" w:eastAsia="宋体"/>
                      <w:color w:val="auto"/>
                      <w:szCs w:val="21"/>
                      <w:lang w:val="en-US" w:eastAsia="zh-CN"/>
                    </w:rPr>
                  </w:pPr>
                  <w:r>
                    <w:rPr>
                      <w:rFonts w:hint="eastAsia"/>
                      <w:color w:val="auto"/>
                      <w:szCs w:val="21"/>
                      <w:lang w:val="en-US" w:eastAsia="zh-CN"/>
                    </w:rPr>
                    <w:t>2026年6月11日~12日</w:t>
                  </w:r>
                </w:p>
              </w:tc>
            </w:tr>
            <w:tr w14:paraId="7419FD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0" w:type="pct"/>
                  <w:gridSpan w:val="2"/>
                  <w:tcBorders>
                    <w:tl2br w:val="nil"/>
                    <w:tr2bl w:val="nil"/>
                  </w:tcBorders>
                  <w:vAlign w:val="center"/>
                </w:tcPr>
                <w:p w14:paraId="0F48016E">
                  <w:pPr>
                    <w:adjustRightInd w:val="0"/>
                    <w:snapToGrid w:val="0"/>
                    <w:jc w:val="center"/>
                    <w:rPr>
                      <w:color w:val="auto"/>
                      <w:szCs w:val="21"/>
                    </w:rPr>
                  </w:pPr>
                  <w:r>
                    <w:rPr>
                      <w:color w:val="auto"/>
                      <w:szCs w:val="21"/>
                    </w:rPr>
                    <w:t>环评报告表审批部门</w:t>
                  </w:r>
                </w:p>
              </w:tc>
              <w:tc>
                <w:tcPr>
                  <w:tcW w:w="1609" w:type="pct"/>
                  <w:tcBorders>
                    <w:tl2br w:val="nil"/>
                    <w:tr2bl w:val="nil"/>
                  </w:tcBorders>
                  <w:vAlign w:val="center"/>
                </w:tcPr>
                <w:p w14:paraId="29523C18">
                  <w:pPr>
                    <w:adjustRightInd w:val="0"/>
                    <w:snapToGrid w:val="0"/>
                    <w:jc w:val="center"/>
                    <w:rPr>
                      <w:rFonts w:hint="eastAsia" w:eastAsia="宋体"/>
                      <w:color w:val="auto"/>
                      <w:szCs w:val="21"/>
                      <w:lang w:eastAsia="zh-CN"/>
                    </w:rPr>
                  </w:pPr>
                  <w:r>
                    <w:rPr>
                      <w:rFonts w:hint="eastAsia"/>
                      <w:color w:val="auto"/>
                      <w:szCs w:val="21"/>
                      <w:lang w:eastAsia="zh-CN"/>
                    </w:rPr>
                    <w:t>南昌市南昌生态环境局</w:t>
                  </w:r>
                </w:p>
              </w:tc>
              <w:tc>
                <w:tcPr>
                  <w:tcW w:w="817" w:type="pct"/>
                  <w:tcBorders>
                    <w:tl2br w:val="nil"/>
                    <w:tr2bl w:val="nil"/>
                  </w:tcBorders>
                  <w:vAlign w:val="center"/>
                </w:tcPr>
                <w:p w14:paraId="6BFB4246">
                  <w:pPr>
                    <w:adjustRightInd w:val="0"/>
                    <w:snapToGrid w:val="0"/>
                    <w:jc w:val="center"/>
                    <w:rPr>
                      <w:color w:val="auto"/>
                      <w:szCs w:val="21"/>
                    </w:rPr>
                  </w:pPr>
                  <w:r>
                    <w:rPr>
                      <w:color w:val="auto"/>
                      <w:szCs w:val="21"/>
                    </w:rPr>
                    <w:t>环评</w:t>
                  </w:r>
                  <w:r>
                    <w:rPr>
                      <w:rFonts w:hint="eastAsia"/>
                      <w:color w:val="auto"/>
                      <w:szCs w:val="21"/>
                    </w:rPr>
                    <w:t>报告</w:t>
                  </w:r>
                  <w:r>
                    <w:rPr>
                      <w:color w:val="auto"/>
                      <w:szCs w:val="21"/>
                    </w:rPr>
                    <w:t>表</w:t>
                  </w:r>
                </w:p>
                <w:p w14:paraId="578C42EB">
                  <w:pPr>
                    <w:adjustRightInd w:val="0"/>
                    <w:snapToGrid w:val="0"/>
                    <w:jc w:val="center"/>
                    <w:rPr>
                      <w:color w:val="auto"/>
                      <w:szCs w:val="21"/>
                    </w:rPr>
                  </w:pPr>
                  <w:r>
                    <w:rPr>
                      <w:color w:val="auto"/>
                      <w:szCs w:val="21"/>
                    </w:rPr>
                    <w:t>编制单位</w:t>
                  </w:r>
                </w:p>
              </w:tc>
              <w:tc>
                <w:tcPr>
                  <w:tcW w:w="1702" w:type="pct"/>
                  <w:gridSpan w:val="3"/>
                  <w:tcBorders>
                    <w:tl2br w:val="nil"/>
                    <w:tr2bl w:val="nil"/>
                  </w:tcBorders>
                  <w:vAlign w:val="center"/>
                </w:tcPr>
                <w:p w14:paraId="46E793E9">
                  <w:pPr>
                    <w:adjustRightInd w:val="0"/>
                    <w:snapToGrid w:val="0"/>
                    <w:ind w:left="-105" w:leftChars="-50" w:right="-105" w:rightChars="-50"/>
                    <w:jc w:val="center"/>
                    <w:rPr>
                      <w:rFonts w:hint="eastAsia" w:eastAsia="宋体"/>
                      <w:color w:val="auto"/>
                      <w:szCs w:val="21"/>
                      <w:lang w:eastAsia="zh-CN"/>
                    </w:rPr>
                  </w:pPr>
                  <w:r>
                    <w:rPr>
                      <w:rFonts w:hint="eastAsia" w:eastAsia="宋体"/>
                      <w:color w:val="auto"/>
                      <w:szCs w:val="21"/>
                      <w:lang w:eastAsia="zh-CN"/>
                    </w:rPr>
                    <w:t>新创环保技术服务有限公司</w:t>
                  </w:r>
                </w:p>
              </w:tc>
            </w:tr>
            <w:tr w14:paraId="73962D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0" w:type="pct"/>
                  <w:gridSpan w:val="2"/>
                  <w:tcBorders>
                    <w:tl2br w:val="nil"/>
                    <w:tr2bl w:val="nil"/>
                  </w:tcBorders>
                  <w:vAlign w:val="center"/>
                </w:tcPr>
                <w:p w14:paraId="061CCF14">
                  <w:pPr>
                    <w:adjustRightInd w:val="0"/>
                    <w:snapToGrid w:val="0"/>
                    <w:jc w:val="center"/>
                    <w:rPr>
                      <w:color w:val="auto"/>
                      <w:szCs w:val="21"/>
                    </w:rPr>
                  </w:pPr>
                  <w:r>
                    <w:rPr>
                      <w:color w:val="auto"/>
                      <w:szCs w:val="21"/>
                    </w:rPr>
                    <w:t>环保设施</w:t>
                  </w:r>
                </w:p>
                <w:p w14:paraId="3CFFE40D">
                  <w:pPr>
                    <w:adjustRightInd w:val="0"/>
                    <w:snapToGrid w:val="0"/>
                    <w:jc w:val="center"/>
                    <w:rPr>
                      <w:color w:val="auto"/>
                      <w:szCs w:val="21"/>
                    </w:rPr>
                  </w:pPr>
                  <w:r>
                    <w:rPr>
                      <w:color w:val="auto"/>
                      <w:szCs w:val="21"/>
                    </w:rPr>
                    <w:t>设计单位</w:t>
                  </w:r>
                </w:p>
              </w:tc>
              <w:tc>
                <w:tcPr>
                  <w:tcW w:w="1609" w:type="pct"/>
                  <w:tcBorders>
                    <w:tl2br w:val="nil"/>
                    <w:tr2bl w:val="nil"/>
                  </w:tcBorders>
                  <w:vAlign w:val="center"/>
                </w:tcPr>
                <w:p w14:paraId="3A54C996">
                  <w:pPr>
                    <w:adjustRightInd w:val="0"/>
                    <w:snapToGrid w:val="0"/>
                    <w:jc w:val="center"/>
                    <w:rPr>
                      <w:rFonts w:hint="eastAsia" w:eastAsia="宋体"/>
                      <w:color w:val="auto"/>
                      <w:szCs w:val="21"/>
                      <w:lang w:eastAsia="zh-CN"/>
                    </w:rPr>
                  </w:pPr>
                  <w:r>
                    <w:rPr>
                      <w:rFonts w:hint="eastAsia"/>
                      <w:color w:val="auto"/>
                      <w:szCs w:val="21"/>
                      <w:lang w:val="en-US" w:eastAsia="zh-CN"/>
                    </w:rPr>
                    <w:t>/</w:t>
                  </w:r>
                </w:p>
              </w:tc>
              <w:tc>
                <w:tcPr>
                  <w:tcW w:w="817" w:type="pct"/>
                  <w:tcBorders>
                    <w:tl2br w:val="nil"/>
                    <w:tr2bl w:val="nil"/>
                  </w:tcBorders>
                  <w:vAlign w:val="center"/>
                </w:tcPr>
                <w:p w14:paraId="0670CABE">
                  <w:pPr>
                    <w:adjustRightInd w:val="0"/>
                    <w:snapToGrid w:val="0"/>
                    <w:jc w:val="center"/>
                    <w:rPr>
                      <w:color w:val="auto"/>
                      <w:szCs w:val="21"/>
                    </w:rPr>
                  </w:pPr>
                  <w:r>
                    <w:rPr>
                      <w:color w:val="auto"/>
                      <w:szCs w:val="21"/>
                    </w:rPr>
                    <w:t>环保设施</w:t>
                  </w:r>
                </w:p>
                <w:p w14:paraId="04458E5A">
                  <w:pPr>
                    <w:adjustRightInd w:val="0"/>
                    <w:snapToGrid w:val="0"/>
                    <w:jc w:val="center"/>
                    <w:rPr>
                      <w:color w:val="auto"/>
                      <w:szCs w:val="21"/>
                    </w:rPr>
                  </w:pPr>
                  <w:r>
                    <w:rPr>
                      <w:color w:val="auto"/>
                      <w:szCs w:val="21"/>
                    </w:rPr>
                    <w:t>施工单位</w:t>
                  </w:r>
                </w:p>
              </w:tc>
              <w:tc>
                <w:tcPr>
                  <w:tcW w:w="1702" w:type="pct"/>
                  <w:gridSpan w:val="3"/>
                  <w:tcBorders>
                    <w:tl2br w:val="nil"/>
                    <w:tr2bl w:val="nil"/>
                  </w:tcBorders>
                  <w:vAlign w:val="center"/>
                </w:tcPr>
                <w:p w14:paraId="5BFBDBD2">
                  <w:pPr>
                    <w:adjustRightInd w:val="0"/>
                    <w:snapToGrid w:val="0"/>
                    <w:jc w:val="center"/>
                    <w:rPr>
                      <w:rFonts w:hint="eastAsia" w:eastAsia="宋体"/>
                      <w:color w:val="auto"/>
                      <w:szCs w:val="21"/>
                      <w:lang w:eastAsia="zh-CN"/>
                    </w:rPr>
                  </w:pPr>
                  <w:r>
                    <w:rPr>
                      <w:rFonts w:hint="eastAsia"/>
                      <w:color w:val="auto"/>
                      <w:szCs w:val="21"/>
                      <w:lang w:val="en-US" w:eastAsia="zh-CN"/>
                    </w:rPr>
                    <w:t>/</w:t>
                  </w:r>
                </w:p>
              </w:tc>
            </w:tr>
            <w:tr w14:paraId="64421B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70" w:type="pct"/>
                  <w:gridSpan w:val="2"/>
                  <w:tcBorders>
                    <w:tl2br w:val="nil"/>
                    <w:tr2bl w:val="nil"/>
                  </w:tcBorders>
                  <w:vAlign w:val="center"/>
                </w:tcPr>
                <w:p w14:paraId="1E82D028">
                  <w:pPr>
                    <w:adjustRightInd w:val="0"/>
                    <w:snapToGrid w:val="0"/>
                    <w:jc w:val="center"/>
                    <w:rPr>
                      <w:color w:val="auto"/>
                      <w:szCs w:val="21"/>
                    </w:rPr>
                  </w:pPr>
                  <w:r>
                    <w:rPr>
                      <w:color w:val="auto"/>
                      <w:szCs w:val="21"/>
                    </w:rPr>
                    <w:t>投资总概算</w:t>
                  </w:r>
                </w:p>
              </w:tc>
              <w:tc>
                <w:tcPr>
                  <w:tcW w:w="1609" w:type="pct"/>
                  <w:tcBorders>
                    <w:tl2br w:val="nil"/>
                    <w:tr2bl w:val="nil"/>
                  </w:tcBorders>
                  <w:vAlign w:val="center"/>
                </w:tcPr>
                <w:p w14:paraId="736A7DF6">
                  <w:pPr>
                    <w:adjustRightInd w:val="0"/>
                    <w:snapToGrid w:val="0"/>
                    <w:jc w:val="center"/>
                    <w:rPr>
                      <w:rFonts w:hint="default" w:eastAsia="宋体"/>
                      <w:color w:val="auto"/>
                      <w:szCs w:val="21"/>
                      <w:lang w:val="en-US" w:eastAsia="zh-CN"/>
                    </w:rPr>
                  </w:pPr>
                  <w:r>
                    <w:rPr>
                      <w:rFonts w:hint="eastAsia"/>
                      <w:color w:val="auto"/>
                      <w:szCs w:val="21"/>
                      <w:lang w:val="en-US" w:eastAsia="zh-CN"/>
                    </w:rPr>
                    <w:t>50000</w:t>
                  </w:r>
                  <w:r>
                    <w:rPr>
                      <w:rFonts w:hint="eastAsia"/>
                      <w:color w:val="auto"/>
                      <w:szCs w:val="21"/>
                    </w:rPr>
                    <w:t>万元</w:t>
                  </w:r>
                </w:p>
              </w:tc>
              <w:tc>
                <w:tcPr>
                  <w:tcW w:w="817" w:type="pct"/>
                  <w:tcBorders>
                    <w:tl2br w:val="nil"/>
                    <w:tr2bl w:val="nil"/>
                  </w:tcBorders>
                  <w:vAlign w:val="center"/>
                </w:tcPr>
                <w:p w14:paraId="29FA957A">
                  <w:pPr>
                    <w:adjustRightInd w:val="0"/>
                    <w:snapToGrid w:val="0"/>
                    <w:jc w:val="center"/>
                    <w:rPr>
                      <w:color w:val="auto"/>
                      <w:szCs w:val="21"/>
                    </w:rPr>
                  </w:pPr>
                  <w:r>
                    <w:rPr>
                      <w:color w:val="auto"/>
                      <w:szCs w:val="21"/>
                    </w:rPr>
                    <w:t>环保投资总概算</w:t>
                  </w:r>
                </w:p>
              </w:tc>
              <w:tc>
                <w:tcPr>
                  <w:tcW w:w="680" w:type="pct"/>
                  <w:tcBorders>
                    <w:tl2br w:val="nil"/>
                    <w:tr2bl w:val="nil"/>
                  </w:tcBorders>
                  <w:vAlign w:val="center"/>
                </w:tcPr>
                <w:p w14:paraId="60CF926E">
                  <w:pPr>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169.5万元</w:t>
                  </w:r>
                </w:p>
              </w:tc>
              <w:tc>
                <w:tcPr>
                  <w:tcW w:w="451" w:type="pct"/>
                  <w:tcBorders>
                    <w:tl2br w:val="nil"/>
                    <w:tr2bl w:val="nil"/>
                  </w:tcBorders>
                  <w:vAlign w:val="center"/>
                </w:tcPr>
                <w:p w14:paraId="7C7A6048">
                  <w:pPr>
                    <w:adjustRightInd w:val="0"/>
                    <w:snapToGrid w:val="0"/>
                    <w:jc w:val="center"/>
                    <w:rPr>
                      <w:color w:val="auto"/>
                      <w:szCs w:val="21"/>
                    </w:rPr>
                  </w:pPr>
                  <w:r>
                    <w:rPr>
                      <w:color w:val="auto"/>
                      <w:szCs w:val="21"/>
                    </w:rPr>
                    <w:t>比例</w:t>
                  </w:r>
                </w:p>
              </w:tc>
              <w:tc>
                <w:tcPr>
                  <w:tcW w:w="570" w:type="pct"/>
                  <w:tcBorders>
                    <w:tl2br w:val="nil"/>
                    <w:tr2bl w:val="nil"/>
                  </w:tcBorders>
                  <w:vAlign w:val="center"/>
                </w:tcPr>
                <w:p w14:paraId="33B7191C">
                  <w:pPr>
                    <w:adjustRightInd w:val="0"/>
                    <w:snapToGrid w:val="0"/>
                    <w:jc w:val="center"/>
                    <w:rPr>
                      <w:rFonts w:hint="eastAsia" w:eastAsia="宋体"/>
                      <w:color w:val="auto"/>
                      <w:sz w:val="21"/>
                      <w:szCs w:val="21"/>
                      <w:lang w:val="en-US" w:eastAsia="zh-CN"/>
                    </w:rPr>
                  </w:pPr>
                  <w:r>
                    <w:rPr>
                      <w:rFonts w:hint="eastAsia"/>
                      <w:color w:val="auto"/>
                      <w:szCs w:val="21"/>
                      <w:lang w:val="en-US" w:eastAsia="zh-CN"/>
                    </w:rPr>
                    <w:t>0.339%</w:t>
                  </w:r>
                </w:p>
              </w:tc>
            </w:tr>
            <w:tr w14:paraId="448860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70" w:type="pct"/>
                  <w:gridSpan w:val="2"/>
                  <w:tcBorders>
                    <w:tl2br w:val="nil"/>
                    <w:tr2bl w:val="nil"/>
                  </w:tcBorders>
                  <w:vAlign w:val="center"/>
                </w:tcPr>
                <w:p w14:paraId="19C636CC">
                  <w:pPr>
                    <w:adjustRightInd w:val="0"/>
                    <w:snapToGrid w:val="0"/>
                    <w:jc w:val="center"/>
                    <w:rPr>
                      <w:color w:val="auto"/>
                      <w:szCs w:val="21"/>
                    </w:rPr>
                  </w:pPr>
                  <w:r>
                    <w:rPr>
                      <w:color w:val="auto"/>
                      <w:szCs w:val="21"/>
                    </w:rPr>
                    <w:t>实际总投资</w:t>
                  </w:r>
                </w:p>
              </w:tc>
              <w:tc>
                <w:tcPr>
                  <w:tcW w:w="1609" w:type="pct"/>
                  <w:tcBorders>
                    <w:tl2br w:val="nil"/>
                    <w:tr2bl w:val="nil"/>
                  </w:tcBorders>
                  <w:vAlign w:val="center"/>
                </w:tcPr>
                <w:p w14:paraId="0EA48193">
                  <w:pPr>
                    <w:adjustRightInd w:val="0"/>
                    <w:snapToGrid w:val="0"/>
                    <w:jc w:val="center"/>
                    <w:rPr>
                      <w:rFonts w:hint="default" w:eastAsia="宋体"/>
                      <w:color w:val="auto"/>
                      <w:szCs w:val="21"/>
                      <w:lang w:val="en-US" w:eastAsia="zh-CN"/>
                    </w:rPr>
                  </w:pPr>
                  <w:r>
                    <w:rPr>
                      <w:rFonts w:hint="eastAsia"/>
                      <w:color w:val="auto"/>
                      <w:szCs w:val="21"/>
                      <w:lang w:val="en-US" w:eastAsia="zh-CN"/>
                    </w:rPr>
                    <w:t>40000万元</w:t>
                  </w:r>
                </w:p>
              </w:tc>
              <w:tc>
                <w:tcPr>
                  <w:tcW w:w="817" w:type="pct"/>
                  <w:tcBorders>
                    <w:tl2br w:val="nil"/>
                    <w:tr2bl w:val="nil"/>
                  </w:tcBorders>
                  <w:vAlign w:val="center"/>
                </w:tcPr>
                <w:p w14:paraId="38E76C5A">
                  <w:pPr>
                    <w:adjustRightInd w:val="0"/>
                    <w:snapToGrid w:val="0"/>
                    <w:jc w:val="center"/>
                    <w:rPr>
                      <w:color w:val="auto"/>
                      <w:szCs w:val="21"/>
                    </w:rPr>
                  </w:pPr>
                  <w:r>
                    <w:rPr>
                      <w:color w:val="auto"/>
                      <w:szCs w:val="21"/>
                    </w:rPr>
                    <w:t>实际环保投资</w:t>
                  </w:r>
                </w:p>
              </w:tc>
              <w:tc>
                <w:tcPr>
                  <w:tcW w:w="680" w:type="pct"/>
                  <w:tcBorders>
                    <w:tl2br w:val="nil"/>
                    <w:tr2bl w:val="nil"/>
                  </w:tcBorders>
                  <w:vAlign w:val="center"/>
                </w:tcPr>
                <w:p w14:paraId="2884D69B">
                  <w:pPr>
                    <w:adjustRightInd w:val="0"/>
                    <w:snapToGrid w:val="0"/>
                    <w:jc w:val="center"/>
                    <w:rPr>
                      <w:rFonts w:hint="default" w:eastAsia="宋体"/>
                      <w:color w:val="auto"/>
                      <w:szCs w:val="21"/>
                      <w:lang w:val="en-US" w:eastAsia="zh-CN"/>
                    </w:rPr>
                  </w:pPr>
                  <w:r>
                    <w:rPr>
                      <w:rFonts w:hint="eastAsia"/>
                      <w:color w:val="auto"/>
                      <w:szCs w:val="21"/>
                      <w:lang w:val="en-US" w:eastAsia="zh-CN"/>
                    </w:rPr>
                    <w:t>65.5万元</w:t>
                  </w:r>
                </w:p>
              </w:tc>
              <w:tc>
                <w:tcPr>
                  <w:tcW w:w="451" w:type="pct"/>
                  <w:tcBorders>
                    <w:tl2br w:val="nil"/>
                    <w:tr2bl w:val="nil"/>
                  </w:tcBorders>
                  <w:vAlign w:val="center"/>
                </w:tcPr>
                <w:p w14:paraId="2D958D87">
                  <w:pPr>
                    <w:adjustRightInd w:val="0"/>
                    <w:snapToGrid w:val="0"/>
                    <w:jc w:val="center"/>
                    <w:rPr>
                      <w:color w:val="auto"/>
                      <w:szCs w:val="21"/>
                    </w:rPr>
                  </w:pPr>
                  <w:r>
                    <w:rPr>
                      <w:color w:val="auto"/>
                      <w:szCs w:val="21"/>
                    </w:rPr>
                    <w:t>比例</w:t>
                  </w:r>
                </w:p>
              </w:tc>
              <w:tc>
                <w:tcPr>
                  <w:tcW w:w="570" w:type="pct"/>
                  <w:tcBorders>
                    <w:tl2br w:val="nil"/>
                    <w:tr2bl w:val="nil"/>
                  </w:tcBorders>
                  <w:vAlign w:val="center"/>
                </w:tcPr>
                <w:p w14:paraId="528C5A81">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0.164%</w:t>
                  </w:r>
                </w:p>
              </w:tc>
            </w:tr>
            <w:tr w14:paraId="4A3857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512" w:type="pct"/>
                  <w:tcBorders>
                    <w:tl2br w:val="nil"/>
                    <w:tr2bl w:val="nil"/>
                  </w:tcBorders>
                  <w:vAlign w:val="center"/>
                </w:tcPr>
                <w:p w14:paraId="20EAAA1B">
                  <w:pPr>
                    <w:adjustRightInd w:val="0"/>
                    <w:snapToGrid w:val="0"/>
                    <w:jc w:val="center"/>
                    <w:rPr>
                      <w:color w:val="auto"/>
                      <w:sz w:val="24"/>
                      <w:szCs w:val="24"/>
                    </w:rPr>
                  </w:pPr>
                  <w:r>
                    <w:rPr>
                      <w:color w:val="auto"/>
                      <w:sz w:val="24"/>
                      <w:szCs w:val="24"/>
                    </w:rPr>
                    <w:t>验收监测依据</w:t>
                  </w:r>
                </w:p>
              </w:tc>
              <w:tc>
                <w:tcPr>
                  <w:tcW w:w="4487" w:type="pct"/>
                  <w:gridSpan w:val="6"/>
                  <w:tcBorders>
                    <w:tl2br w:val="nil"/>
                    <w:tr2bl w:val="nil"/>
                  </w:tcBorders>
                  <w:vAlign w:val="center"/>
                </w:tcPr>
                <w:p w14:paraId="54B7EE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）《中华人民共和国环境保护法》；</w:t>
                  </w:r>
                </w:p>
                <w:p w14:paraId="29A3F7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）《建设项目环境保护管理条例》(国令第682号)；</w:t>
                  </w:r>
                </w:p>
                <w:p w14:paraId="318A89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）《建设项目竣工环境保护验收暂行办法》（国环规环评[2017]4号）；</w:t>
                  </w:r>
                </w:p>
                <w:p w14:paraId="03441A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）《江西省建设项目环境保护管理条例》；</w:t>
                  </w:r>
                </w:p>
                <w:p w14:paraId="055D41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5</w:t>
                  </w:r>
                  <w:r>
                    <w:rPr>
                      <w:rFonts w:hint="eastAsia"/>
                      <w:color w:val="auto"/>
                      <w:sz w:val="24"/>
                      <w:szCs w:val="24"/>
                      <w:lang w:eastAsia="zh-CN"/>
                    </w:rPr>
                    <w:t>）《建设项目竣工环境保护验收技术指南</w:t>
                  </w:r>
                  <w:r>
                    <w:rPr>
                      <w:rFonts w:hint="eastAsia"/>
                      <w:color w:val="auto"/>
                      <w:sz w:val="24"/>
                      <w:szCs w:val="24"/>
                      <w:lang w:val="en-US" w:eastAsia="zh-CN"/>
                    </w:rPr>
                    <w:t xml:space="preserve"> </w:t>
                  </w:r>
                  <w:r>
                    <w:rPr>
                      <w:rFonts w:hint="eastAsia"/>
                      <w:color w:val="auto"/>
                      <w:sz w:val="24"/>
                      <w:szCs w:val="24"/>
                      <w:lang w:eastAsia="zh-CN"/>
                    </w:rPr>
                    <w:t>污染影响类》（公告2018年第9号）；</w:t>
                  </w:r>
                </w:p>
                <w:p w14:paraId="6E22D4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6</w:t>
                  </w:r>
                  <w:r>
                    <w:rPr>
                      <w:rFonts w:hint="eastAsia"/>
                      <w:color w:val="auto"/>
                      <w:sz w:val="24"/>
                      <w:szCs w:val="24"/>
                      <w:lang w:eastAsia="zh-CN"/>
                    </w:rPr>
                    <w:t>）南昌市南昌生态环境局，关于水联江西管道装备有限公司年产20万吨螺旋管50万涂塑项目环境影响报告表的批复，南环评字〔202</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18</w:t>
                  </w:r>
                  <w:r>
                    <w:rPr>
                      <w:rFonts w:hint="eastAsia"/>
                      <w:color w:val="auto"/>
                      <w:sz w:val="24"/>
                      <w:szCs w:val="24"/>
                      <w:lang w:eastAsia="zh-CN"/>
                    </w:rPr>
                    <w:t>号；</w:t>
                  </w:r>
                </w:p>
                <w:p w14:paraId="74819D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7</w:t>
                  </w:r>
                  <w:r>
                    <w:rPr>
                      <w:rFonts w:hint="eastAsia"/>
                      <w:color w:val="auto"/>
                      <w:sz w:val="24"/>
                      <w:szCs w:val="24"/>
                      <w:lang w:eastAsia="zh-CN"/>
                    </w:rPr>
                    <w:t>）新创环保技术服务有限公司《水联（江西）管道装备有限公司年产20万吨螺旋管50万涂塑项目环境影响报告表》；</w:t>
                  </w:r>
                </w:p>
                <w:p w14:paraId="758618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lang w:val="en-US" w:eastAsia="zh-CN"/>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8</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《水联（江西）管道装备有限公司</w:t>
                  </w:r>
                  <w:r>
                    <w:rPr>
                      <w:rFonts w:hint="eastAsia"/>
                      <w:color w:val="auto"/>
                      <w:kern w:val="0"/>
                      <w:sz w:val="24"/>
                      <w:lang w:eastAsia="zh-CN"/>
                    </w:rPr>
                    <w:t>固定污染源排污登记回执</w:t>
                  </w:r>
                  <w:r>
                    <w:rPr>
                      <w:rFonts w:hint="eastAsia" w:ascii="Times New Roman" w:hAnsi="Times New Roman" w:eastAsia="宋体" w:cs="Times New Roman"/>
                      <w:color w:val="auto"/>
                      <w:sz w:val="24"/>
                      <w:szCs w:val="24"/>
                      <w:lang w:val="en-US" w:eastAsia="zh-CN"/>
                    </w:rPr>
                    <w:t>》（登记编号：91360121MAD5Y73N7U001Z）。</w:t>
                  </w:r>
                </w:p>
              </w:tc>
            </w:tr>
            <w:tr w14:paraId="682D6B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512" w:type="pct"/>
                  <w:tcBorders>
                    <w:tl2br w:val="nil"/>
                    <w:tr2bl w:val="nil"/>
                  </w:tcBorders>
                  <w:vAlign w:val="center"/>
                </w:tcPr>
                <w:p w14:paraId="331C9509">
                  <w:pPr>
                    <w:adjustRightInd w:val="0"/>
                    <w:snapToGrid w:val="0"/>
                    <w:jc w:val="center"/>
                    <w:rPr>
                      <w:color w:val="auto"/>
                      <w:sz w:val="24"/>
                      <w:szCs w:val="24"/>
                    </w:rPr>
                  </w:pPr>
                  <w:r>
                    <w:rPr>
                      <w:color w:val="auto"/>
                      <w:sz w:val="24"/>
                      <w:szCs w:val="24"/>
                    </w:rPr>
                    <w:t>验收监测评价标准、标号、级别、限值</w:t>
                  </w:r>
                </w:p>
              </w:tc>
              <w:tc>
                <w:tcPr>
                  <w:tcW w:w="4487" w:type="pct"/>
                  <w:gridSpan w:val="6"/>
                  <w:tcBorders>
                    <w:tl2br w:val="nil"/>
                    <w:tr2bl w:val="nil"/>
                  </w:tcBorders>
                  <w:vAlign w:val="center"/>
                </w:tcPr>
                <w:p w14:paraId="5D1D8EA7">
                  <w:pPr>
                    <w:adjustRightInd w:val="0"/>
                    <w:snapToGrid w:val="0"/>
                    <w:spacing w:line="240" w:lineRule="auto"/>
                    <w:ind w:firstLine="480" w:firstLineChars="200"/>
                    <w:rPr>
                      <w:color w:val="auto"/>
                      <w:sz w:val="24"/>
                      <w:szCs w:val="24"/>
                    </w:rPr>
                  </w:pPr>
                  <w:r>
                    <w:rPr>
                      <w:rFonts w:hint="eastAsia"/>
                      <w:color w:val="auto"/>
                      <w:sz w:val="24"/>
                      <w:szCs w:val="24"/>
                    </w:rPr>
                    <w:t>1、环境质量标准：</w:t>
                  </w:r>
                </w:p>
                <w:p w14:paraId="45BC9743">
                  <w:pPr>
                    <w:pStyle w:val="115"/>
                    <w:keepNext w:val="0"/>
                    <w:keepLines w:val="0"/>
                    <w:pageBreakBefore w:val="0"/>
                    <w:widowControl w:val="0"/>
                    <w:numPr>
                      <w:ilvl w:val="0"/>
                      <w:numId w:val="0"/>
                    </w:numPr>
                    <w:kinsoku/>
                    <w:wordWrap/>
                    <w:overflowPunct/>
                    <w:topLinePunct w:val="0"/>
                    <w:autoSpaceDE w:val="0"/>
                    <w:autoSpaceDN w:val="0"/>
                    <w:bidi w:val="0"/>
                    <w:adjustRightInd w:val="0"/>
                    <w:snapToGrid w:val="0"/>
                    <w:spacing w:before="0" w:beforeLines="0"/>
                    <w:textAlignment w:val="auto"/>
                    <w:rPr>
                      <w:rFonts w:hint="default"/>
                      <w:bCs w:val="0"/>
                      <w:color w:val="auto"/>
                      <w:sz w:val="24"/>
                      <w:szCs w:val="24"/>
                    </w:rPr>
                  </w:pPr>
                  <w:r>
                    <w:rPr>
                      <w:bCs w:val="0"/>
                      <w:color w:val="auto"/>
                      <w:sz w:val="24"/>
                      <w:szCs w:val="24"/>
                    </w:rPr>
                    <w:t>表1-1 环境质量标准</w:t>
                  </w:r>
                </w:p>
                <w:tbl>
                  <w:tblPr>
                    <w:tblStyle w:val="3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4531"/>
                    <w:gridCol w:w="1894"/>
                  </w:tblGrid>
                  <w:tr w14:paraId="105D47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079" w:type="pct"/>
                        <w:vAlign w:val="center"/>
                      </w:tcPr>
                      <w:p w14:paraId="737DC4CA">
                        <w:pPr>
                          <w:pStyle w:val="95"/>
                          <w:widowControl w:val="0"/>
                          <w:adjustRightInd w:val="0"/>
                          <w:snapToGrid w:val="0"/>
                          <w:rPr>
                            <w:b/>
                            <w:color w:val="auto"/>
                            <w:sz w:val="21"/>
                            <w:szCs w:val="21"/>
                          </w:rPr>
                        </w:pPr>
                        <w:r>
                          <w:rPr>
                            <w:b/>
                            <w:color w:val="auto"/>
                            <w:sz w:val="21"/>
                            <w:szCs w:val="21"/>
                          </w:rPr>
                          <w:t>分</w:t>
                        </w:r>
                        <w:r>
                          <w:rPr>
                            <w:rFonts w:hint="eastAsia"/>
                            <w:b/>
                            <w:color w:val="auto"/>
                            <w:sz w:val="21"/>
                            <w:szCs w:val="21"/>
                          </w:rPr>
                          <w:t>类</w:t>
                        </w:r>
                      </w:p>
                    </w:tc>
                    <w:tc>
                      <w:tcPr>
                        <w:tcW w:w="2764" w:type="pct"/>
                        <w:vAlign w:val="center"/>
                      </w:tcPr>
                      <w:p w14:paraId="1CAD5779">
                        <w:pPr>
                          <w:pStyle w:val="95"/>
                          <w:widowControl w:val="0"/>
                          <w:adjustRightInd w:val="0"/>
                          <w:snapToGrid w:val="0"/>
                          <w:rPr>
                            <w:b/>
                            <w:color w:val="auto"/>
                            <w:sz w:val="21"/>
                            <w:szCs w:val="21"/>
                          </w:rPr>
                        </w:pPr>
                        <w:r>
                          <w:rPr>
                            <w:b/>
                            <w:color w:val="auto"/>
                            <w:sz w:val="21"/>
                            <w:szCs w:val="21"/>
                          </w:rPr>
                          <w:t>标准名称</w:t>
                        </w:r>
                      </w:p>
                    </w:tc>
                    <w:tc>
                      <w:tcPr>
                        <w:tcW w:w="1155" w:type="pct"/>
                        <w:vAlign w:val="center"/>
                      </w:tcPr>
                      <w:p w14:paraId="6DDBE00B">
                        <w:pPr>
                          <w:pStyle w:val="95"/>
                          <w:widowControl w:val="0"/>
                          <w:adjustRightInd w:val="0"/>
                          <w:snapToGrid w:val="0"/>
                          <w:rPr>
                            <w:b/>
                            <w:color w:val="auto"/>
                            <w:sz w:val="21"/>
                            <w:szCs w:val="21"/>
                          </w:rPr>
                        </w:pPr>
                        <w:r>
                          <w:rPr>
                            <w:b/>
                            <w:color w:val="auto"/>
                            <w:sz w:val="21"/>
                            <w:szCs w:val="21"/>
                          </w:rPr>
                          <w:t>类别</w:t>
                        </w:r>
                      </w:p>
                    </w:tc>
                  </w:tr>
                  <w:tr w14:paraId="64D8F8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9" w:type="pct"/>
                        <w:vAlign w:val="center"/>
                      </w:tcPr>
                      <w:p w14:paraId="5E29EAF4">
                        <w:pPr>
                          <w:pStyle w:val="95"/>
                          <w:widowControl w:val="0"/>
                          <w:adjustRightInd w:val="0"/>
                          <w:snapToGrid w:val="0"/>
                          <w:rPr>
                            <w:color w:val="auto"/>
                            <w:sz w:val="21"/>
                            <w:szCs w:val="21"/>
                          </w:rPr>
                        </w:pPr>
                        <w:r>
                          <w:rPr>
                            <w:color w:val="auto"/>
                            <w:sz w:val="21"/>
                            <w:szCs w:val="21"/>
                          </w:rPr>
                          <w:t>环境空气</w:t>
                        </w:r>
                      </w:p>
                    </w:tc>
                    <w:tc>
                      <w:tcPr>
                        <w:tcW w:w="2764" w:type="pct"/>
                        <w:vAlign w:val="center"/>
                      </w:tcPr>
                      <w:p w14:paraId="2C8CD22C">
                        <w:pPr>
                          <w:pStyle w:val="95"/>
                          <w:widowControl w:val="0"/>
                          <w:adjustRightInd w:val="0"/>
                          <w:snapToGrid w:val="0"/>
                          <w:rPr>
                            <w:color w:val="auto"/>
                            <w:sz w:val="21"/>
                            <w:szCs w:val="21"/>
                          </w:rPr>
                        </w:pPr>
                        <w:r>
                          <w:rPr>
                            <w:color w:val="auto"/>
                            <w:sz w:val="21"/>
                            <w:szCs w:val="21"/>
                          </w:rPr>
                          <w:t>《环境空气质量标准》</w:t>
                        </w:r>
                        <w:r>
                          <w:rPr>
                            <w:rFonts w:hint="eastAsia"/>
                            <w:color w:val="auto"/>
                            <w:sz w:val="21"/>
                            <w:szCs w:val="21"/>
                          </w:rPr>
                          <w:t>（GB3095-20</w:t>
                        </w:r>
                        <w:r>
                          <w:rPr>
                            <w:rFonts w:hint="eastAsia"/>
                            <w:color w:val="auto"/>
                            <w:sz w:val="21"/>
                            <w:szCs w:val="21"/>
                            <w:lang w:val="en-US" w:eastAsia="zh-CN"/>
                          </w:rPr>
                          <w:t>26</w:t>
                        </w:r>
                        <w:r>
                          <w:rPr>
                            <w:rFonts w:hint="eastAsia"/>
                            <w:color w:val="auto"/>
                            <w:sz w:val="21"/>
                            <w:szCs w:val="21"/>
                          </w:rPr>
                          <w:t>）</w:t>
                        </w:r>
                      </w:p>
                    </w:tc>
                    <w:tc>
                      <w:tcPr>
                        <w:tcW w:w="1155" w:type="pct"/>
                        <w:vAlign w:val="center"/>
                      </w:tcPr>
                      <w:p w14:paraId="4680F29E">
                        <w:pPr>
                          <w:pStyle w:val="95"/>
                          <w:widowControl w:val="0"/>
                          <w:adjustRightInd w:val="0"/>
                          <w:snapToGrid w:val="0"/>
                          <w:rPr>
                            <w:color w:val="auto"/>
                            <w:sz w:val="21"/>
                            <w:szCs w:val="21"/>
                          </w:rPr>
                        </w:pPr>
                        <w:r>
                          <w:rPr>
                            <w:color w:val="auto"/>
                            <w:sz w:val="21"/>
                            <w:szCs w:val="21"/>
                          </w:rPr>
                          <w:t>二级</w:t>
                        </w:r>
                      </w:p>
                    </w:tc>
                  </w:tr>
                  <w:tr w14:paraId="6CEB22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9" w:type="pct"/>
                        <w:vAlign w:val="center"/>
                      </w:tcPr>
                      <w:p w14:paraId="516BBA62">
                        <w:pPr>
                          <w:pStyle w:val="95"/>
                          <w:widowControl w:val="0"/>
                          <w:adjustRightInd w:val="0"/>
                          <w:snapToGrid w:val="0"/>
                          <w:rPr>
                            <w:color w:val="auto"/>
                            <w:sz w:val="21"/>
                            <w:szCs w:val="21"/>
                          </w:rPr>
                        </w:pPr>
                        <w:r>
                          <w:rPr>
                            <w:color w:val="auto"/>
                            <w:sz w:val="21"/>
                            <w:szCs w:val="21"/>
                          </w:rPr>
                          <w:t>地表水</w:t>
                        </w:r>
                      </w:p>
                    </w:tc>
                    <w:tc>
                      <w:tcPr>
                        <w:tcW w:w="2764" w:type="pct"/>
                        <w:vAlign w:val="center"/>
                      </w:tcPr>
                      <w:p w14:paraId="5163FAD9">
                        <w:pPr>
                          <w:pStyle w:val="95"/>
                          <w:widowControl w:val="0"/>
                          <w:adjustRightInd w:val="0"/>
                          <w:snapToGrid w:val="0"/>
                          <w:rPr>
                            <w:color w:val="auto"/>
                            <w:sz w:val="21"/>
                            <w:szCs w:val="21"/>
                          </w:rPr>
                        </w:pPr>
                        <w:r>
                          <w:rPr>
                            <w:color w:val="auto"/>
                            <w:sz w:val="21"/>
                            <w:szCs w:val="21"/>
                          </w:rPr>
                          <w:t>《地表水环境质量标准》</w:t>
                        </w:r>
                        <w:r>
                          <w:rPr>
                            <w:rFonts w:hint="eastAsia"/>
                            <w:color w:val="auto"/>
                            <w:sz w:val="21"/>
                            <w:szCs w:val="21"/>
                            <w:lang w:val="en-US" w:eastAsia="zh-CN"/>
                          </w:rPr>
                          <w:t>（GB3838-2002）</w:t>
                        </w:r>
                      </w:p>
                    </w:tc>
                    <w:tc>
                      <w:tcPr>
                        <w:tcW w:w="1155" w:type="pct"/>
                        <w:vAlign w:val="center"/>
                      </w:tcPr>
                      <w:p w14:paraId="5132B222">
                        <w:pPr>
                          <w:pStyle w:val="95"/>
                          <w:widowControl w:val="0"/>
                          <w:adjustRightInd w:val="0"/>
                          <w:snapToGrid w:val="0"/>
                          <w:rPr>
                            <w:color w:val="auto"/>
                            <w:sz w:val="21"/>
                            <w:szCs w:val="21"/>
                          </w:rPr>
                        </w:pPr>
                        <w:r>
                          <w:rPr>
                            <w:rFonts w:hint="default" w:ascii="Times New Roman" w:hAnsi="Times New Roman" w:cs="Times New Roman"/>
                            <w:color w:val="auto"/>
                            <w:sz w:val="21"/>
                            <w:szCs w:val="21"/>
                          </w:rPr>
                          <w:t>Ⅲ</w:t>
                        </w:r>
                        <w:r>
                          <w:rPr>
                            <w:color w:val="auto"/>
                            <w:sz w:val="21"/>
                            <w:szCs w:val="21"/>
                          </w:rPr>
                          <w:t>类</w:t>
                        </w:r>
                      </w:p>
                    </w:tc>
                  </w:tr>
                  <w:tr w14:paraId="6F8B8F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9" w:type="pct"/>
                        <w:vAlign w:val="center"/>
                      </w:tcPr>
                      <w:p w14:paraId="19D9BCD1">
                        <w:pPr>
                          <w:pStyle w:val="95"/>
                          <w:widowControl w:val="0"/>
                          <w:adjustRightInd w:val="0"/>
                          <w:snapToGrid w:val="0"/>
                          <w:rPr>
                            <w:color w:val="auto"/>
                            <w:sz w:val="21"/>
                            <w:szCs w:val="21"/>
                          </w:rPr>
                        </w:pPr>
                        <w:r>
                          <w:rPr>
                            <w:color w:val="auto"/>
                            <w:sz w:val="21"/>
                            <w:szCs w:val="21"/>
                          </w:rPr>
                          <w:t>声环境</w:t>
                        </w:r>
                      </w:p>
                    </w:tc>
                    <w:tc>
                      <w:tcPr>
                        <w:tcW w:w="2764" w:type="pct"/>
                        <w:vAlign w:val="center"/>
                      </w:tcPr>
                      <w:p w14:paraId="07CF8E92">
                        <w:pPr>
                          <w:pStyle w:val="95"/>
                          <w:widowControl w:val="0"/>
                          <w:adjustRightInd w:val="0"/>
                          <w:snapToGrid w:val="0"/>
                          <w:rPr>
                            <w:color w:val="auto"/>
                            <w:sz w:val="21"/>
                            <w:szCs w:val="21"/>
                          </w:rPr>
                        </w:pPr>
                        <w:r>
                          <w:rPr>
                            <w:color w:val="auto"/>
                            <w:sz w:val="21"/>
                            <w:szCs w:val="21"/>
                          </w:rPr>
                          <w:t>《声环境质量标准》</w:t>
                        </w:r>
                        <w:r>
                          <w:rPr>
                            <w:rFonts w:hint="eastAsia"/>
                            <w:color w:val="auto"/>
                            <w:sz w:val="21"/>
                            <w:szCs w:val="21"/>
                          </w:rPr>
                          <w:t>（</w:t>
                        </w:r>
                        <w:r>
                          <w:rPr>
                            <w:color w:val="auto"/>
                            <w:sz w:val="21"/>
                            <w:szCs w:val="21"/>
                          </w:rPr>
                          <w:t>GB3096-2008</w:t>
                        </w:r>
                        <w:r>
                          <w:rPr>
                            <w:rFonts w:hint="eastAsia"/>
                            <w:color w:val="auto"/>
                            <w:sz w:val="21"/>
                            <w:szCs w:val="21"/>
                          </w:rPr>
                          <w:t>）</w:t>
                        </w:r>
                      </w:p>
                    </w:tc>
                    <w:tc>
                      <w:tcPr>
                        <w:tcW w:w="1155" w:type="pct"/>
                        <w:vAlign w:val="center"/>
                      </w:tcPr>
                      <w:p w14:paraId="7160B296">
                        <w:pPr>
                          <w:pStyle w:val="95"/>
                          <w:widowControl w:val="0"/>
                          <w:adjustRightInd w:val="0"/>
                          <w:snapToGrid w:val="0"/>
                          <w:rPr>
                            <w:rFonts w:hint="default" w:eastAsia="宋体"/>
                            <w:color w:val="auto"/>
                            <w:sz w:val="21"/>
                            <w:szCs w:val="21"/>
                            <w:lang w:val="en-US" w:eastAsia="zh-CN"/>
                          </w:rPr>
                        </w:pPr>
                        <w:r>
                          <w:rPr>
                            <w:rFonts w:hint="eastAsia"/>
                            <w:color w:val="auto"/>
                            <w:sz w:val="21"/>
                            <w:szCs w:val="21"/>
                            <w:lang w:val="en-US" w:eastAsia="zh-CN"/>
                          </w:rPr>
                          <w:t>3</w:t>
                        </w:r>
                        <w:r>
                          <w:rPr>
                            <w:rFonts w:hint="eastAsia"/>
                            <w:color w:val="auto"/>
                            <w:sz w:val="21"/>
                            <w:szCs w:val="21"/>
                          </w:rPr>
                          <w:t>类</w:t>
                        </w:r>
                      </w:p>
                    </w:tc>
                  </w:tr>
                </w:tbl>
                <w:p w14:paraId="68A03B13">
                  <w:pPr>
                    <w:adjustRightInd w:val="0"/>
                    <w:snapToGrid w:val="0"/>
                    <w:spacing w:line="360" w:lineRule="auto"/>
                    <w:ind w:firstLine="480" w:firstLineChars="200"/>
                    <w:rPr>
                      <w:color w:val="auto"/>
                      <w:sz w:val="24"/>
                      <w:szCs w:val="24"/>
                    </w:rPr>
                  </w:pPr>
                  <w:r>
                    <w:rPr>
                      <w:rFonts w:hint="eastAsia"/>
                      <w:color w:val="auto"/>
                      <w:sz w:val="24"/>
                      <w:szCs w:val="24"/>
                    </w:rPr>
                    <w:t>2、</w:t>
                  </w:r>
                  <w:r>
                    <w:rPr>
                      <w:color w:val="auto"/>
                      <w:sz w:val="24"/>
                      <w:szCs w:val="24"/>
                    </w:rPr>
                    <w:t>污染物排放标准：</w:t>
                  </w:r>
                </w:p>
                <w:p w14:paraId="5863FB55">
                  <w:pPr>
                    <w:adjustRightInd w:val="0"/>
                    <w:snapToGrid w:val="0"/>
                    <w:spacing w:line="360" w:lineRule="auto"/>
                    <w:ind w:firstLine="480" w:firstLineChars="200"/>
                    <w:jc w:val="left"/>
                    <w:rPr>
                      <w:color w:val="auto"/>
                      <w:sz w:val="24"/>
                      <w:szCs w:val="24"/>
                    </w:rPr>
                  </w:pPr>
                  <w:r>
                    <w:rPr>
                      <w:rFonts w:hint="eastAsia"/>
                      <w:color w:val="auto"/>
                      <w:sz w:val="24"/>
                      <w:szCs w:val="24"/>
                    </w:rPr>
                    <w:t>（1）</w:t>
                  </w:r>
                  <w:r>
                    <w:rPr>
                      <w:color w:val="auto"/>
                      <w:sz w:val="24"/>
                      <w:szCs w:val="24"/>
                    </w:rPr>
                    <w:t>废气</w:t>
                  </w:r>
                </w:p>
                <w:p w14:paraId="5758DFE6">
                  <w:pPr>
                    <w:adjustRightInd w:val="0"/>
                    <w:snapToGrid w:val="0"/>
                    <w:spacing w:line="360" w:lineRule="auto"/>
                    <w:ind w:firstLine="480" w:firstLineChars="200"/>
                    <w:rPr>
                      <w:rFonts w:hint="eastAsia" w:eastAsia="宋体"/>
                      <w:color w:val="auto"/>
                      <w:sz w:val="24"/>
                      <w:szCs w:val="24"/>
                      <w:lang w:eastAsia="zh-CN"/>
                    </w:rPr>
                  </w:pPr>
                  <w:r>
                    <w:rPr>
                      <w:rFonts w:hint="eastAsia"/>
                      <w:color w:val="auto"/>
                      <w:sz w:val="24"/>
                      <w:szCs w:val="24"/>
                    </w:rPr>
                    <w:t>项目营运期废气主要为铣边金属粉尘、焊接烟尘、抛丸粉尘、喷塑粉尘及胶带和PE带缠绕工序产生的有机废气</w:t>
                  </w:r>
                  <w:r>
                    <w:rPr>
                      <w:rFonts w:hint="eastAsia"/>
                      <w:color w:val="auto"/>
                      <w:sz w:val="24"/>
                      <w:szCs w:val="24"/>
                      <w:lang w:eastAsia="zh-CN"/>
                    </w:rPr>
                    <w:t>和</w:t>
                  </w:r>
                  <w:r>
                    <w:rPr>
                      <w:rFonts w:hint="eastAsia"/>
                      <w:color w:val="auto"/>
                      <w:sz w:val="24"/>
                      <w:szCs w:val="24"/>
                    </w:rPr>
                    <w:t>食堂油烟等</w:t>
                  </w:r>
                  <w:r>
                    <w:rPr>
                      <w:rFonts w:hint="eastAsia"/>
                      <w:color w:val="auto"/>
                      <w:sz w:val="24"/>
                      <w:szCs w:val="24"/>
                      <w:lang w:eastAsia="zh-CN"/>
                    </w:rPr>
                    <w:t>；</w:t>
                  </w:r>
                </w:p>
                <w:p w14:paraId="6EE257A3">
                  <w:pPr>
                    <w:adjustRightInd w:val="0"/>
                    <w:snapToGrid w:val="0"/>
                    <w:spacing w:line="360" w:lineRule="auto"/>
                    <w:ind w:firstLine="480" w:firstLineChars="200"/>
                    <w:rPr>
                      <w:rFonts w:hint="eastAsia" w:eastAsia="宋体"/>
                      <w:color w:val="auto"/>
                      <w:sz w:val="24"/>
                      <w:szCs w:val="24"/>
                      <w:lang w:eastAsia="zh-CN"/>
                    </w:rPr>
                  </w:pPr>
                  <w:r>
                    <w:rPr>
                      <w:rFonts w:hint="eastAsia"/>
                      <w:color w:val="auto"/>
                      <w:sz w:val="24"/>
                      <w:szCs w:val="24"/>
                    </w:rPr>
                    <w:t>颗粒物排放执行《</w:t>
                  </w:r>
                  <w:r>
                    <w:rPr>
                      <w:rFonts w:hint="eastAsia"/>
                      <w:color w:val="auto"/>
                      <w:sz w:val="24"/>
                      <w:szCs w:val="24"/>
                      <w:lang w:eastAsia="zh-CN"/>
                    </w:rPr>
                    <w:t>大气</w:t>
                  </w:r>
                  <w:r>
                    <w:rPr>
                      <w:rFonts w:hint="eastAsia"/>
                      <w:color w:val="auto"/>
                      <w:sz w:val="24"/>
                      <w:szCs w:val="24"/>
                    </w:rPr>
                    <w:t>污染物</w:t>
                  </w:r>
                  <w:r>
                    <w:rPr>
                      <w:rFonts w:hint="eastAsia"/>
                      <w:color w:val="auto"/>
                      <w:sz w:val="24"/>
                      <w:szCs w:val="24"/>
                      <w:lang w:eastAsia="zh-CN"/>
                    </w:rPr>
                    <w:t>综合</w:t>
                  </w:r>
                  <w:r>
                    <w:rPr>
                      <w:rFonts w:hint="eastAsia"/>
                      <w:color w:val="auto"/>
                      <w:sz w:val="24"/>
                      <w:szCs w:val="24"/>
                    </w:rPr>
                    <w:t>排放标准》（GB</w:t>
                  </w:r>
                  <w:r>
                    <w:rPr>
                      <w:rFonts w:hint="eastAsia"/>
                      <w:color w:val="auto"/>
                      <w:sz w:val="24"/>
                      <w:szCs w:val="24"/>
                      <w:lang w:val="en-US" w:eastAsia="zh-CN"/>
                    </w:rPr>
                    <w:t>16297-1996</w:t>
                  </w:r>
                  <w:r>
                    <w:rPr>
                      <w:rFonts w:hint="eastAsia"/>
                      <w:color w:val="auto"/>
                      <w:sz w:val="24"/>
                      <w:szCs w:val="24"/>
                    </w:rPr>
                    <w:t>）表</w:t>
                  </w:r>
                  <w:r>
                    <w:rPr>
                      <w:rFonts w:hint="eastAsia"/>
                      <w:color w:val="auto"/>
                      <w:sz w:val="24"/>
                      <w:szCs w:val="24"/>
                      <w:lang w:val="en-US" w:eastAsia="zh-CN"/>
                    </w:rPr>
                    <w:t>2</w:t>
                  </w:r>
                  <w:r>
                    <w:rPr>
                      <w:rFonts w:hint="eastAsia"/>
                      <w:color w:val="auto"/>
                      <w:sz w:val="24"/>
                      <w:szCs w:val="24"/>
                    </w:rPr>
                    <w:t>中</w:t>
                  </w:r>
                  <w:r>
                    <w:rPr>
                      <w:rFonts w:hint="eastAsia"/>
                      <w:color w:val="auto"/>
                      <w:sz w:val="24"/>
                      <w:szCs w:val="24"/>
                      <w:lang w:eastAsia="zh-CN"/>
                    </w:rPr>
                    <w:t>二级标准及无组织排放监控浓度限值要求</w:t>
                  </w:r>
                  <w:r>
                    <w:rPr>
                      <w:rFonts w:hint="eastAsia"/>
                      <w:color w:val="auto"/>
                      <w:sz w:val="24"/>
                      <w:szCs w:val="24"/>
                    </w:rPr>
                    <w:t>；非甲烷总烃排放执行《挥发性有机物综合排放控制标准（试行）》（DB36/2186-2025）</w:t>
                  </w:r>
                  <w:r>
                    <w:rPr>
                      <w:rFonts w:hint="eastAsia"/>
                      <w:color w:val="auto"/>
                      <w:sz w:val="24"/>
                      <w:szCs w:val="24"/>
                      <w:lang w:eastAsia="zh-CN"/>
                    </w:rPr>
                    <w:t>表</w:t>
                  </w:r>
                  <w:r>
                    <w:rPr>
                      <w:rFonts w:hint="eastAsia"/>
                      <w:color w:val="auto"/>
                      <w:sz w:val="24"/>
                      <w:szCs w:val="24"/>
                      <w:lang w:val="en-US" w:eastAsia="zh-CN"/>
                    </w:rPr>
                    <w:t>1、表2和表3</w:t>
                  </w:r>
                  <w:r>
                    <w:rPr>
                      <w:rFonts w:hint="eastAsia"/>
                      <w:color w:val="auto"/>
                      <w:sz w:val="24"/>
                      <w:szCs w:val="24"/>
                    </w:rPr>
                    <w:t>中限值</w:t>
                  </w:r>
                  <w:r>
                    <w:rPr>
                      <w:rFonts w:hint="eastAsia"/>
                      <w:color w:val="auto"/>
                      <w:sz w:val="24"/>
                      <w:szCs w:val="24"/>
                      <w:lang w:eastAsia="zh-CN"/>
                    </w:rPr>
                    <w:t>要求；</w:t>
                  </w:r>
                  <w:r>
                    <w:rPr>
                      <w:rFonts w:hint="eastAsia"/>
                      <w:color w:val="auto"/>
                      <w:sz w:val="24"/>
                      <w:szCs w:val="24"/>
                    </w:rPr>
                    <w:t>详见表1-2、1-3</w:t>
                  </w:r>
                  <w:r>
                    <w:rPr>
                      <w:rFonts w:hint="eastAsia"/>
                      <w:color w:val="auto"/>
                      <w:sz w:val="24"/>
                      <w:szCs w:val="24"/>
                      <w:lang w:eastAsia="zh-CN"/>
                    </w:rPr>
                    <w:t>。</w:t>
                  </w:r>
                </w:p>
                <w:p w14:paraId="1D8258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val="0"/>
                      <w:color w:val="auto"/>
                      <w:sz w:val="24"/>
                      <w:szCs w:val="24"/>
                    </w:rPr>
                  </w:pPr>
                  <w:r>
                    <w:rPr>
                      <w:rFonts w:hint="default"/>
                      <w:b/>
                      <w:bCs w:val="0"/>
                      <w:color w:val="auto"/>
                      <w:sz w:val="24"/>
                      <w:szCs w:val="24"/>
                    </w:rPr>
                    <w:t xml:space="preserve">表1-2 </w:t>
                  </w:r>
                  <w:r>
                    <w:rPr>
                      <w:rFonts w:hint="eastAsia"/>
                      <w:b/>
                      <w:bCs w:val="0"/>
                      <w:color w:val="auto"/>
                      <w:sz w:val="24"/>
                      <w:szCs w:val="24"/>
                    </w:rPr>
                    <w:t>《</w:t>
                  </w:r>
                  <w:r>
                    <w:rPr>
                      <w:rFonts w:hint="eastAsia"/>
                      <w:b/>
                      <w:bCs w:val="0"/>
                      <w:color w:val="auto"/>
                      <w:sz w:val="24"/>
                      <w:szCs w:val="24"/>
                      <w:lang w:eastAsia="zh-CN"/>
                    </w:rPr>
                    <w:t>大气</w:t>
                  </w:r>
                  <w:r>
                    <w:rPr>
                      <w:rFonts w:hint="eastAsia"/>
                      <w:b/>
                      <w:bCs w:val="0"/>
                      <w:color w:val="auto"/>
                      <w:sz w:val="24"/>
                      <w:szCs w:val="24"/>
                    </w:rPr>
                    <w:t>污染物</w:t>
                  </w:r>
                  <w:r>
                    <w:rPr>
                      <w:rFonts w:hint="eastAsia"/>
                      <w:b/>
                      <w:bCs w:val="0"/>
                      <w:color w:val="auto"/>
                      <w:sz w:val="24"/>
                      <w:szCs w:val="24"/>
                      <w:lang w:eastAsia="zh-CN"/>
                    </w:rPr>
                    <w:t>综合</w:t>
                  </w:r>
                  <w:r>
                    <w:rPr>
                      <w:rFonts w:hint="eastAsia"/>
                      <w:b/>
                      <w:bCs w:val="0"/>
                      <w:color w:val="auto"/>
                      <w:sz w:val="24"/>
                      <w:szCs w:val="24"/>
                    </w:rPr>
                    <w:t>排放标准》（GB</w:t>
                  </w:r>
                  <w:r>
                    <w:rPr>
                      <w:rFonts w:hint="eastAsia"/>
                      <w:b/>
                      <w:bCs w:val="0"/>
                      <w:color w:val="auto"/>
                      <w:sz w:val="24"/>
                      <w:szCs w:val="24"/>
                      <w:lang w:val="en-US" w:eastAsia="zh-CN"/>
                    </w:rPr>
                    <w:t>16297-1996</w:t>
                  </w:r>
                  <w:r>
                    <w:rPr>
                      <w:rFonts w:hint="eastAsia"/>
                      <w:b/>
                      <w:bCs w:val="0"/>
                      <w:color w:val="auto"/>
                      <w:sz w:val="24"/>
                      <w:szCs w:val="24"/>
                    </w:rPr>
                    <w:t>）</w:t>
                  </w:r>
                </w:p>
                <w:tbl>
                  <w:tblPr>
                    <w:tblStyle w:val="3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1393"/>
                    <w:gridCol w:w="1139"/>
                    <w:gridCol w:w="1679"/>
                    <w:gridCol w:w="1402"/>
                    <w:gridCol w:w="1309"/>
                  </w:tblGrid>
                  <w:tr w14:paraId="20BB1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restart"/>
                        <w:tcBorders>
                          <w:tl2br w:val="nil"/>
                          <w:tr2bl w:val="nil"/>
                        </w:tcBorders>
                        <w:vAlign w:val="center"/>
                      </w:tcPr>
                      <w:p w14:paraId="1DD7DEB3">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rPr>
                          <w:t>污染物名称</w:t>
                        </w:r>
                      </w:p>
                    </w:tc>
                    <w:tc>
                      <w:tcPr>
                        <w:tcW w:w="850" w:type="pct"/>
                        <w:vMerge w:val="restart"/>
                        <w:tcBorders>
                          <w:tl2br w:val="nil"/>
                          <w:tr2bl w:val="nil"/>
                        </w:tcBorders>
                        <w:vAlign w:val="center"/>
                      </w:tcPr>
                      <w:p w14:paraId="4BF81CC2">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lang w:eastAsia="zh-CN"/>
                          </w:rPr>
                          <w:t>最高允许</w:t>
                        </w:r>
                        <w:r>
                          <w:rPr>
                            <w:rFonts w:hint="eastAsia"/>
                            <w:b/>
                            <w:bCs/>
                            <w:color w:val="auto"/>
                            <w:sz w:val="21"/>
                            <w:szCs w:val="21"/>
                          </w:rPr>
                          <w:t>排放</w:t>
                        </w:r>
                        <w:r>
                          <w:rPr>
                            <w:rFonts w:hint="eastAsia"/>
                            <w:b/>
                            <w:bCs/>
                            <w:color w:val="auto"/>
                            <w:sz w:val="21"/>
                            <w:szCs w:val="21"/>
                            <w:lang w:eastAsia="zh-CN"/>
                          </w:rPr>
                          <w:t>浓度</w:t>
                        </w:r>
                        <w:r>
                          <w:rPr>
                            <w:b/>
                            <w:bCs/>
                            <w:color w:val="auto"/>
                            <w:sz w:val="21"/>
                            <w:szCs w:val="21"/>
                          </w:rPr>
                          <w:t>(mg/m</w:t>
                        </w:r>
                        <w:r>
                          <w:rPr>
                            <w:b/>
                            <w:bCs/>
                            <w:color w:val="auto"/>
                            <w:sz w:val="21"/>
                            <w:szCs w:val="21"/>
                            <w:vertAlign w:val="superscript"/>
                          </w:rPr>
                          <w:t>3</w:t>
                        </w:r>
                        <w:r>
                          <w:rPr>
                            <w:b/>
                            <w:bCs/>
                            <w:color w:val="auto"/>
                            <w:sz w:val="21"/>
                            <w:szCs w:val="21"/>
                          </w:rPr>
                          <w:t>)</w:t>
                        </w:r>
                      </w:p>
                    </w:tc>
                    <w:tc>
                      <w:tcPr>
                        <w:tcW w:w="695" w:type="pct"/>
                        <w:vMerge w:val="restart"/>
                        <w:tcBorders>
                          <w:tl2br w:val="nil"/>
                          <w:tr2bl w:val="nil"/>
                        </w:tcBorders>
                        <w:vAlign w:val="center"/>
                      </w:tcPr>
                      <w:p w14:paraId="22FF4AB9">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rPr>
                          <w:t>排气筒高度（</w:t>
                        </w:r>
                        <w:r>
                          <w:rPr>
                            <w:b/>
                            <w:bCs/>
                            <w:color w:val="auto"/>
                            <w:sz w:val="21"/>
                            <w:szCs w:val="21"/>
                          </w:rPr>
                          <w:t>m</w:t>
                        </w:r>
                        <w:r>
                          <w:rPr>
                            <w:rFonts w:hint="eastAsia"/>
                            <w:b/>
                            <w:bCs/>
                            <w:color w:val="auto"/>
                            <w:sz w:val="21"/>
                            <w:szCs w:val="21"/>
                          </w:rPr>
                          <w:t>）</w:t>
                        </w:r>
                      </w:p>
                    </w:tc>
                    <w:tc>
                      <w:tcPr>
                        <w:tcW w:w="1024" w:type="pct"/>
                        <w:vMerge w:val="restart"/>
                        <w:tcBorders>
                          <w:tl2br w:val="nil"/>
                          <w:tr2bl w:val="nil"/>
                        </w:tcBorders>
                        <w:vAlign w:val="center"/>
                      </w:tcPr>
                      <w:p w14:paraId="5F15C2C4">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rPr>
                          <w:t>最高允许排放速率（</w:t>
                        </w:r>
                        <w:r>
                          <w:rPr>
                            <w:b/>
                            <w:bCs/>
                            <w:color w:val="auto"/>
                            <w:sz w:val="21"/>
                            <w:szCs w:val="21"/>
                          </w:rPr>
                          <w:t>kg/h</w:t>
                        </w:r>
                        <w:r>
                          <w:rPr>
                            <w:rFonts w:hint="eastAsia"/>
                            <w:b/>
                            <w:bCs/>
                            <w:color w:val="auto"/>
                            <w:sz w:val="21"/>
                            <w:szCs w:val="21"/>
                          </w:rPr>
                          <w:t>）</w:t>
                        </w:r>
                      </w:p>
                    </w:tc>
                    <w:tc>
                      <w:tcPr>
                        <w:tcW w:w="1651" w:type="pct"/>
                        <w:gridSpan w:val="2"/>
                        <w:tcBorders>
                          <w:tl2br w:val="nil"/>
                          <w:tr2bl w:val="nil"/>
                        </w:tcBorders>
                        <w:vAlign w:val="center"/>
                      </w:tcPr>
                      <w:p w14:paraId="594E0E76">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rPr>
                          <w:t>无组织排放监控浓度限值</w:t>
                        </w:r>
                      </w:p>
                    </w:tc>
                  </w:tr>
                  <w:tr w14:paraId="045C0B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tcBorders>
                          <w:tl2br w:val="nil"/>
                          <w:tr2bl w:val="nil"/>
                        </w:tcBorders>
                        <w:vAlign w:val="center"/>
                      </w:tcPr>
                      <w:p w14:paraId="6ADE6055">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p>
                    </w:tc>
                    <w:tc>
                      <w:tcPr>
                        <w:tcW w:w="850" w:type="pct"/>
                        <w:vMerge w:val="continue"/>
                        <w:tcBorders>
                          <w:tl2br w:val="nil"/>
                          <w:tr2bl w:val="nil"/>
                        </w:tcBorders>
                        <w:vAlign w:val="center"/>
                      </w:tcPr>
                      <w:p w14:paraId="6613A3EE">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p>
                    </w:tc>
                    <w:tc>
                      <w:tcPr>
                        <w:tcW w:w="695" w:type="pct"/>
                        <w:vMerge w:val="continue"/>
                        <w:tcBorders>
                          <w:tl2br w:val="nil"/>
                          <w:tr2bl w:val="nil"/>
                        </w:tcBorders>
                        <w:vAlign w:val="center"/>
                      </w:tcPr>
                      <w:p w14:paraId="04B8C241">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p>
                    </w:tc>
                    <w:tc>
                      <w:tcPr>
                        <w:tcW w:w="1024" w:type="pct"/>
                        <w:vMerge w:val="continue"/>
                        <w:tcBorders>
                          <w:tl2br w:val="nil"/>
                          <w:tr2bl w:val="nil"/>
                        </w:tcBorders>
                        <w:vAlign w:val="center"/>
                      </w:tcPr>
                      <w:p w14:paraId="435007E4">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p>
                    </w:tc>
                    <w:tc>
                      <w:tcPr>
                        <w:tcW w:w="855" w:type="pct"/>
                        <w:tcBorders>
                          <w:tl2br w:val="nil"/>
                          <w:tr2bl w:val="nil"/>
                        </w:tcBorders>
                        <w:vAlign w:val="center"/>
                      </w:tcPr>
                      <w:p w14:paraId="0C4023F6">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rPr>
                          <w:t>监控点</w:t>
                        </w:r>
                      </w:p>
                    </w:tc>
                    <w:tc>
                      <w:tcPr>
                        <w:tcW w:w="796" w:type="pct"/>
                        <w:tcBorders>
                          <w:tl2br w:val="nil"/>
                          <w:tr2bl w:val="nil"/>
                        </w:tcBorders>
                        <w:vAlign w:val="center"/>
                      </w:tcPr>
                      <w:p w14:paraId="20F80AF8">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rPr>
                          <w:t>浓度</w:t>
                        </w:r>
                        <w:r>
                          <w:rPr>
                            <w:b/>
                            <w:bCs/>
                            <w:color w:val="auto"/>
                            <w:sz w:val="21"/>
                            <w:szCs w:val="21"/>
                          </w:rPr>
                          <w:t>(mg/m</w:t>
                        </w:r>
                        <w:r>
                          <w:rPr>
                            <w:b/>
                            <w:bCs/>
                            <w:color w:val="auto"/>
                            <w:sz w:val="21"/>
                            <w:szCs w:val="21"/>
                            <w:vertAlign w:val="superscript"/>
                          </w:rPr>
                          <w:t>3</w:t>
                        </w:r>
                        <w:r>
                          <w:rPr>
                            <w:b/>
                            <w:bCs/>
                            <w:color w:val="auto"/>
                            <w:sz w:val="21"/>
                            <w:szCs w:val="21"/>
                          </w:rPr>
                          <w:t>)</w:t>
                        </w:r>
                      </w:p>
                    </w:tc>
                  </w:tr>
                  <w:tr w14:paraId="1A8FA7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tcBorders>
                          <w:tl2br w:val="nil"/>
                          <w:tr2bl w:val="nil"/>
                        </w:tcBorders>
                        <w:vAlign w:val="center"/>
                      </w:tcPr>
                      <w:p w14:paraId="058CA121">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color w:val="auto"/>
                            <w:sz w:val="21"/>
                            <w:szCs w:val="21"/>
                          </w:rPr>
                        </w:pPr>
                        <w:r>
                          <w:rPr>
                            <w:rFonts w:hint="eastAsia"/>
                            <w:color w:val="auto"/>
                            <w:sz w:val="21"/>
                            <w:szCs w:val="21"/>
                          </w:rPr>
                          <w:t>颗粒物</w:t>
                        </w:r>
                      </w:p>
                    </w:tc>
                    <w:tc>
                      <w:tcPr>
                        <w:tcW w:w="850" w:type="pct"/>
                        <w:tcBorders>
                          <w:tl2br w:val="nil"/>
                          <w:tr2bl w:val="nil"/>
                        </w:tcBorders>
                        <w:vAlign w:val="center"/>
                      </w:tcPr>
                      <w:p w14:paraId="10E8631B">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120</w:t>
                        </w:r>
                      </w:p>
                    </w:tc>
                    <w:tc>
                      <w:tcPr>
                        <w:tcW w:w="695" w:type="pct"/>
                        <w:tcBorders>
                          <w:tl2br w:val="nil"/>
                          <w:tr2bl w:val="nil"/>
                        </w:tcBorders>
                        <w:vAlign w:val="center"/>
                      </w:tcPr>
                      <w:p w14:paraId="5C21027A">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20</w:t>
                        </w:r>
                      </w:p>
                    </w:tc>
                    <w:tc>
                      <w:tcPr>
                        <w:tcW w:w="1024" w:type="pct"/>
                        <w:tcBorders>
                          <w:tl2br w:val="nil"/>
                          <w:tr2bl w:val="nil"/>
                        </w:tcBorders>
                        <w:vAlign w:val="center"/>
                      </w:tcPr>
                      <w:p w14:paraId="2B02DE47">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2.95</w:t>
                        </w:r>
                      </w:p>
                    </w:tc>
                    <w:tc>
                      <w:tcPr>
                        <w:tcW w:w="855" w:type="pct"/>
                        <w:tcBorders>
                          <w:tl2br w:val="nil"/>
                          <w:tr2bl w:val="nil"/>
                        </w:tcBorders>
                        <w:vAlign w:val="center"/>
                      </w:tcPr>
                      <w:p w14:paraId="798984DF">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rFonts w:hint="eastAsia" w:eastAsia="宋体"/>
                            <w:color w:val="auto"/>
                            <w:sz w:val="21"/>
                            <w:szCs w:val="21"/>
                            <w:lang w:eastAsia="zh-CN"/>
                          </w:rPr>
                        </w:pPr>
                        <w:r>
                          <w:rPr>
                            <w:rFonts w:hint="eastAsia"/>
                            <w:color w:val="auto"/>
                            <w:sz w:val="21"/>
                            <w:szCs w:val="21"/>
                            <w:lang w:eastAsia="zh-CN"/>
                          </w:rPr>
                          <w:t>周界外浓度最高点</w:t>
                        </w:r>
                      </w:p>
                    </w:tc>
                    <w:tc>
                      <w:tcPr>
                        <w:tcW w:w="796" w:type="pct"/>
                        <w:tcBorders>
                          <w:tl2br w:val="nil"/>
                          <w:tr2bl w:val="nil"/>
                        </w:tcBorders>
                        <w:vAlign w:val="center"/>
                      </w:tcPr>
                      <w:p w14:paraId="5B5AA38D">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rFonts w:hint="default" w:eastAsia="宋体"/>
                            <w:color w:val="auto"/>
                            <w:sz w:val="21"/>
                            <w:szCs w:val="21"/>
                            <w:lang w:val="en-US" w:eastAsia="zh-CN"/>
                          </w:rPr>
                        </w:pPr>
                        <w:r>
                          <w:rPr>
                            <w:rFonts w:hint="eastAsia"/>
                            <w:color w:val="auto"/>
                            <w:sz w:val="21"/>
                            <w:szCs w:val="21"/>
                            <w:lang w:val="en-US" w:eastAsia="zh-CN"/>
                          </w:rPr>
                          <w:t>1.0</w:t>
                        </w:r>
                      </w:p>
                    </w:tc>
                  </w:tr>
                  <w:tr w14:paraId="697B46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6"/>
                        <w:tcBorders>
                          <w:tl2br w:val="nil"/>
                          <w:tr2bl w:val="nil"/>
                        </w:tcBorders>
                        <w:vAlign w:val="center"/>
                      </w:tcPr>
                      <w:p w14:paraId="3DAA5AFA">
                        <w:pPr>
                          <w:keepNext w:val="0"/>
                          <w:keepLines w:val="0"/>
                          <w:pageBreakBefore w:val="0"/>
                          <w:widowControl w:val="0"/>
                          <w:kinsoku/>
                          <w:wordWrap/>
                          <w:overflowPunct/>
                          <w:topLinePunct w:val="0"/>
                          <w:autoSpaceDE/>
                          <w:autoSpaceDN/>
                          <w:bidi w:val="0"/>
                          <w:adjustRightInd/>
                          <w:snapToGrid w:val="0"/>
                          <w:ind w:left="0" w:leftChars="0" w:right="0" w:rightChars="0"/>
                          <w:jc w:val="left"/>
                          <w:textAlignment w:val="auto"/>
                          <w:rPr>
                            <w:rFonts w:hint="eastAsia"/>
                            <w:bCs/>
                            <w:color w:val="auto"/>
                            <w:szCs w:val="21"/>
                          </w:rPr>
                        </w:pPr>
                        <w:r>
                          <w:rPr>
                            <w:rFonts w:hint="eastAsia"/>
                            <w:bCs/>
                            <w:color w:val="auto"/>
                            <w:szCs w:val="21"/>
                          </w:rPr>
                          <w:t>注</w:t>
                        </w:r>
                        <w:r>
                          <w:rPr>
                            <w:rFonts w:hint="eastAsia"/>
                            <w:bCs/>
                            <w:color w:val="auto"/>
                            <w:szCs w:val="21"/>
                            <w:lang w:eastAsia="zh-CN"/>
                          </w:rPr>
                          <w:t>：</w:t>
                        </w:r>
                        <w:r>
                          <w:rPr>
                            <w:rFonts w:hint="eastAsia"/>
                            <w:bCs/>
                            <w:color w:val="auto"/>
                            <w:szCs w:val="21"/>
                          </w:rPr>
                          <w:t>排气筒高度应高于周边200米半径范围的建筑5米以上，不能达到要求时，应按</w:t>
                        </w:r>
                      </w:p>
                      <w:p w14:paraId="15477F88">
                        <w:pPr>
                          <w:keepNext w:val="0"/>
                          <w:keepLines w:val="0"/>
                          <w:pageBreakBefore w:val="0"/>
                          <w:widowControl w:val="0"/>
                          <w:kinsoku/>
                          <w:wordWrap/>
                          <w:overflowPunct/>
                          <w:topLinePunct w:val="0"/>
                          <w:autoSpaceDE/>
                          <w:autoSpaceDN/>
                          <w:bidi w:val="0"/>
                          <w:adjustRightInd/>
                          <w:snapToGrid w:val="0"/>
                          <w:ind w:left="0" w:leftChars="0" w:right="0" w:rightChars="0"/>
                          <w:jc w:val="left"/>
                          <w:textAlignment w:val="auto"/>
                          <w:rPr>
                            <w:rFonts w:hint="eastAsia"/>
                            <w:color w:val="auto"/>
                            <w:sz w:val="21"/>
                            <w:szCs w:val="21"/>
                            <w:lang w:val="en-US" w:eastAsia="zh-CN"/>
                          </w:rPr>
                        </w:pPr>
                        <w:r>
                          <w:rPr>
                            <w:rFonts w:hint="eastAsia"/>
                            <w:bCs/>
                            <w:color w:val="auto"/>
                            <w:szCs w:val="21"/>
                          </w:rPr>
                          <w:t>其高度对应的排放速率标准值严格50%执行</w:t>
                        </w:r>
                        <w:r>
                          <w:rPr>
                            <w:rFonts w:hint="eastAsia"/>
                            <w:bCs/>
                            <w:color w:val="auto"/>
                            <w:szCs w:val="21"/>
                            <w:lang w:eastAsia="zh-CN"/>
                          </w:rPr>
                          <w:t>；</w:t>
                        </w:r>
                        <w:r>
                          <w:rPr>
                            <w:rFonts w:hint="eastAsia"/>
                            <w:bCs/>
                            <w:color w:val="auto"/>
                            <w:szCs w:val="21"/>
                          </w:rPr>
                          <w:t>本项目</w:t>
                        </w:r>
                        <w:r>
                          <w:rPr>
                            <w:rFonts w:hint="eastAsia"/>
                            <w:bCs/>
                            <w:color w:val="auto"/>
                            <w:szCs w:val="21"/>
                            <w:lang w:eastAsia="zh-CN"/>
                          </w:rPr>
                          <w:t>无法满足要求。</w:t>
                        </w:r>
                        <w:r>
                          <w:rPr>
                            <w:rFonts w:hint="eastAsia"/>
                            <w:bCs/>
                            <w:color w:val="auto"/>
                            <w:szCs w:val="21"/>
                          </w:rPr>
                          <w:t>故本项目排气筒高度取</w:t>
                        </w:r>
                        <w:r>
                          <w:rPr>
                            <w:rFonts w:hint="eastAsia"/>
                            <w:bCs/>
                            <w:color w:val="auto"/>
                            <w:szCs w:val="21"/>
                            <w:lang w:val="en-US" w:eastAsia="zh-CN"/>
                          </w:rPr>
                          <w:t>20</w:t>
                        </w:r>
                        <w:r>
                          <w:rPr>
                            <w:rFonts w:hint="eastAsia"/>
                            <w:bCs/>
                            <w:color w:val="auto"/>
                            <w:szCs w:val="21"/>
                          </w:rPr>
                          <w:t>m</w:t>
                        </w:r>
                        <w:r>
                          <w:rPr>
                            <w:rFonts w:hint="eastAsia"/>
                            <w:bCs/>
                            <w:color w:val="auto"/>
                            <w:szCs w:val="21"/>
                            <w:lang w:eastAsia="zh-CN"/>
                          </w:rPr>
                          <w:t>，</w:t>
                        </w:r>
                        <w:r>
                          <w:rPr>
                            <w:rFonts w:hint="eastAsia"/>
                            <w:bCs/>
                            <w:color w:val="auto"/>
                            <w:szCs w:val="21"/>
                          </w:rPr>
                          <w:t>对应的排放速率标准值严格50%执行。</w:t>
                        </w:r>
                      </w:p>
                    </w:tc>
                  </w:tr>
                </w:tbl>
                <w:p w14:paraId="795B21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bCs w:val="0"/>
                      <w:color w:val="auto"/>
                      <w:sz w:val="24"/>
                      <w:szCs w:val="24"/>
                    </w:rPr>
                  </w:pPr>
                  <w:r>
                    <w:rPr>
                      <w:rFonts w:hint="default"/>
                      <w:b/>
                      <w:bCs w:val="0"/>
                      <w:color w:val="auto"/>
                      <w:sz w:val="24"/>
                      <w:szCs w:val="24"/>
                    </w:rPr>
                    <w:t>表</w:t>
                  </w:r>
                  <w:r>
                    <w:rPr>
                      <w:rFonts w:hint="eastAsia"/>
                      <w:b/>
                      <w:bCs w:val="0"/>
                      <w:color w:val="auto"/>
                      <w:sz w:val="24"/>
                      <w:szCs w:val="24"/>
                      <w:lang w:val="en-US" w:eastAsia="zh-CN"/>
                    </w:rPr>
                    <w:t>1-3 《挥发性有机物综合排放控制标准（试行）》（DB36/2186-2025）</w:t>
                  </w:r>
                </w:p>
                <w:tbl>
                  <w:tblPr>
                    <w:tblStyle w:val="35"/>
                    <w:tblpPr w:leftFromText="180" w:rightFromText="180" w:vertAnchor="text" w:horzAnchor="page" w:tblpX="81" w:tblpY="42"/>
                    <w:tblOverlap w:val="never"/>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196"/>
                    <w:gridCol w:w="1850"/>
                    <w:gridCol w:w="669"/>
                    <w:gridCol w:w="1299"/>
                    <w:gridCol w:w="2168"/>
                  </w:tblGrid>
                  <w:tr w14:paraId="7593C5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619" w:type="pct"/>
                        <w:vMerge w:val="restart"/>
                        <w:vAlign w:val="center"/>
                      </w:tcPr>
                      <w:p w14:paraId="03EF4541">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rPr>
                          <w:t>污染物名称</w:t>
                        </w:r>
                      </w:p>
                    </w:tc>
                    <w:tc>
                      <w:tcPr>
                        <w:tcW w:w="729" w:type="pct"/>
                        <w:vMerge w:val="restart"/>
                        <w:vAlign w:val="center"/>
                      </w:tcPr>
                      <w:p w14:paraId="7AB28A87">
                        <w:pPr>
                          <w:keepNext w:val="0"/>
                          <w:keepLines w:val="0"/>
                          <w:pageBreakBefore w:val="0"/>
                          <w:widowControl w:val="0"/>
                          <w:kinsoku/>
                          <w:wordWrap/>
                          <w:overflowPunct/>
                          <w:topLinePunct w:val="0"/>
                          <w:autoSpaceDE/>
                          <w:autoSpaceDN/>
                          <w:bidi w:val="0"/>
                          <w:adjustRightInd/>
                          <w:snapToGrid w:val="0"/>
                          <w:ind w:left="0" w:leftChars="0" w:right="0" w:rightChars="0"/>
                          <w:jc w:val="center"/>
                          <w:textAlignment w:val="auto"/>
                          <w:rPr>
                            <w:b/>
                            <w:bCs/>
                            <w:color w:val="auto"/>
                            <w:sz w:val="21"/>
                            <w:szCs w:val="21"/>
                          </w:rPr>
                        </w:pPr>
                        <w:r>
                          <w:rPr>
                            <w:rFonts w:hint="eastAsia"/>
                            <w:b/>
                            <w:bCs/>
                            <w:color w:val="auto"/>
                            <w:sz w:val="21"/>
                            <w:szCs w:val="21"/>
                            <w:lang w:eastAsia="zh-CN"/>
                          </w:rPr>
                          <w:t>最高允许</w:t>
                        </w:r>
                        <w:r>
                          <w:rPr>
                            <w:rFonts w:hint="eastAsia"/>
                            <w:b/>
                            <w:bCs/>
                            <w:color w:val="auto"/>
                            <w:sz w:val="21"/>
                            <w:szCs w:val="21"/>
                          </w:rPr>
                          <w:t>排放</w:t>
                        </w:r>
                        <w:r>
                          <w:rPr>
                            <w:rFonts w:hint="eastAsia"/>
                            <w:b/>
                            <w:bCs/>
                            <w:color w:val="auto"/>
                            <w:sz w:val="21"/>
                            <w:szCs w:val="21"/>
                            <w:lang w:eastAsia="zh-CN"/>
                          </w:rPr>
                          <w:t>浓度</w:t>
                        </w:r>
                        <w:r>
                          <w:rPr>
                            <w:b/>
                            <w:bCs/>
                            <w:color w:val="auto"/>
                            <w:sz w:val="21"/>
                            <w:szCs w:val="21"/>
                          </w:rPr>
                          <w:t>(mg/m</w:t>
                        </w:r>
                        <w:r>
                          <w:rPr>
                            <w:b/>
                            <w:bCs/>
                            <w:color w:val="auto"/>
                            <w:sz w:val="21"/>
                            <w:szCs w:val="21"/>
                            <w:vertAlign w:val="superscript"/>
                          </w:rPr>
                          <w:t>3</w:t>
                        </w:r>
                        <w:r>
                          <w:rPr>
                            <w:b/>
                            <w:bCs/>
                            <w:color w:val="auto"/>
                            <w:sz w:val="21"/>
                            <w:szCs w:val="21"/>
                          </w:rPr>
                          <w:t>)</w:t>
                        </w:r>
                      </w:p>
                    </w:tc>
                    <w:tc>
                      <w:tcPr>
                        <w:tcW w:w="1536" w:type="pct"/>
                        <w:gridSpan w:val="2"/>
                        <w:vMerge w:val="restart"/>
                        <w:vAlign w:val="center"/>
                      </w:tcPr>
                      <w:p w14:paraId="1DD24E2D">
                        <w:pPr>
                          <w:snapToGrid w:val="0"/>
                          <w:jc w:val="center"/>
                          <w:rPr>
                            <w:b/>
                            <w:bCs/>
                            <w:color w:val="auto"/>
                            <w:sz w:val="21"/>
                            <w:szCs w:val="21"/>
                          </w:rPr>
                        </w:pPr>
                        <w:r>
                          <w:rPr>
                            <w:rFonts w:hint="eastAsia"/>
                            <w:b/>
                            <w:bCs/>
                            <w:color w:val="auto"/>
                            <w:sz w:val="21"/>
                            <w:szCs w:val="21"/>
                            <w:lang w:eastAsia="zh-CN"/>
                          </w:rPr>
                          <w:t>企业边界</w:t>
                        </w:r>
                        <w:r>
                          <w:rPr>
                            <w:rFonts w:hint="eastAsia"/>
                            <w:b/>
                            <w:bCs/>
                            <w:color w:val="auto"/>
                            <w:sz w:val="21"/>
                            <w:szCs w:val="21"/>
                          </w:rPr>
                          <w:t>无组织排放浓度限值</w:t>
                        </w:r>
                      </w:p>
                    </w:tc>
                    <w:tc>
                      <w:tcPr>
                        <w:tcW w:w="2114" w:type="pct"/>
                        <w:gridSpan w:val="2"/>
                        <w:tcBorders>
                          <w:bottom w:val="single" w:color="auto" w:sz="4" w:space="0"/>
                        </w:tcBorders>
                        <w:vAlign w:val="center"/>
                      </w:tcPr>
                      <w:p w14:paraId="00B36C84">
                        <w:pPr>
                          <w:snapToGrid w:val="0"/>
                          <w:jc w:val="center"/>
                          <w:rPr>
                            <w:rFonts w:hint="eastAsia"/>
                            <w:b/>
                            <w:bCs/>
                            <w:color w:val="auto"/>
                            <w:sz w:val="21"/>
                            <w:szCs w:val="21"/>
                            <w:lang w:eastAsia="zh-CN"/>
                          </w:rPr>
                        </w:pPr>
                        <w:r>
                          <w:rPr>
                            <w:rFonts w:hint="eastAsia"/>
                            <w:b/>
                            <w:bCs/>
                            <w:color w:val="auto"/>
                            <w:sz w:val="21"/>
                            <w:szCs w:val="21"/>
                            <w:lang w:eastAsia="zh-CN"/>
                          </w:rPr>
                          <w:t>厂区内</w:t>
                        </w:r>
                        <w:r>
                          <w:rPr>
                            <w:rFonts w:hint="eastAsia"/>
                            <w:b/>
                            <w:bCs/>
                            <w:color w:val="auto"/>
                            <w:sz w:val="21"/>
                            <w:szCs w:val="21"/>
                          </w:rPr>
                          <w:t>无组织</w:t>
                        </w:r>
                      </w:p>
                    </w:tc>
                  </w:tr>
                  <w:tr w14:paraId="5408DF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619" w:type="pct"/>
                        <w:vMerge w:val="continue"/>
                        <w:tcBorders>
                          <w:bottom w:val="single" w:color="auto" w:sz="4" w:space="0"/>
                        </w:tcBorders>
                        <w:vAlign w:val="center"/>
                      </w:tcPr>
                      <w:p w14:paraId="61CE2A65">
                        <w:pPr>
                          <w:snapToGrid w:val="0"/>
                          <w:jc w:val="center"/>
                          <w:rPr>
                            <w:color w:val="auto"/>
                          </w:rPr>
                        </w:pPr>
                      </w:p>
                    </w:tc>
                    <w:tc>
                      <w:tcPr>
                        <w:tcW w:w="729" w:type="pct"/>
                        <w:vMerge w:val="continue"/>
                        <w:tcBorders>
                          <w:bottom w:val="single" w:color="auto" w:sz="4" w:space="0"/>
                        </w:tcBorders>
                        <w:vAlign w:val="center"/>
                      </w:tcPr>
                      <w:p w14:paraId="2453A177">
                        <w:pPr>
                          <w:snapToGrid w:val="0"/>
                          <w:jc w:val="center"/>
                          <w:rPr>
                            <w:color w:val="auto"/>
                          </w:rPr>
                        </w:pPr>
                      </w:p>
                    </w:tc>
                    <w:tc>
                      <w:tcPr>
                        <w:tcW w:w="1536" w:type="pct"/>
                        <w:gridSpan w:val="2"/>
                        <w:vMerge w:val="continue"/>
                        <w:tcBorders>
                          <w:bottom w:val="single" w:color="auto" w:sz="4" w:space="0"/>
                        </w:tcBorders>
                        <w:vAlign w:val="center"/>
                      </w:tcPr>
                      <w:p w14:paraId="003025F2">
                        <w:pPr>
                          <w:snapToGrid w:val="0"/>
                          <w:jc w:val="center"/>
                          <w:rPr>
                            <w:color w:val="auto"/>
                          </w:rPr>
                        </w:pPr>
                      </w:p>
                    </w:tc>
                    <w:tc>
                      <w:tcPr>
                        <w:tcW w:w="792" w:type="pct"/>
                        <w:tcBorders>
                          <w:bottom w:val="single" w:color="auto" w:sz="4" w:space="0"/>
                        </w:tcBorders>
                        <w:vAlign w:val="center"/>
                      </w:tcPr>
                      <w:p w14:paraId="2C1AA122">
                        <w:pPr>
                          <w:snapToGrid w:val="0"/>
                          <w:jc w:val="center"/>
                          <w:rPr>
                            <w:rFonts w:hint="eastAsia"/>
                            <w:b/>
                            <w:bCs/>
                            <w:color w:val="auto"/>
                            <w:sz w:val="21"/>
                            <w:szCs w:val="21"/>
                            <w:lang w:eastAsia="zh-CN"/>
                          </w:rPr>
                        </w:pPr>
                        <w:r>
                          <w:rPr>
                            <w:rFonts w:hint="eastAsia"/>
                            <w:b/>
                            <w:bCs/>
                            <w:color w:val="auto"/>
                            <w:sz w:val="21"/>
                            <w:szCs w:val="21"/>
                          </w:rPr>
                          <w:t>排放浓度限值</w:t>
                        </w:r>
                      </w:p>
                    </w:tc>
                    <w:tc>
                      <w:tcPr>
                        <w:tcW w:w="1321" w:type="pct"/>
                        <w:tcBorders>
                          <w:bottom w:val="single" w:color="auto" w:sz="4" w:space="0"/>
                        </w:tcBorders>
                        <w:vAlign w:val="center"/>
                      </w:tcPr>
                      <w:p w14:paraId="43EA612F">
                        <w:pPr>
                          <w:snapToGrid w:val="0"/>
                          <w:jc w:val="center"/>
                          <w:rPr>
                            <w:rFonts w:hint="eastAsia"/>
                            <w:b/>
                            <w:bCs/>
                            <w:color w:val="auto"/>
                            <w:sz w:val="21"/>
                            <w:szCs w:val="21"/>
                            <w:lang w:eastAsia="zh-CN"/>
                          </w:rPr>
                        </w:pPr>
                        <w:r>
                          <w:rPr>
                            <w:rFonts w:hint="eastAsia"/>
                            <w:b/>
                            <w:bCs/>
                            <w:color w:val="auto"/>
                            <w:sz w:val="21"/>
                            <w:szCs w:val="21"/>
                            <w:lang w:val="en-US" w:eastAsia="zh-CN"/>
                          </w:rPr>
                          <w:t>无组织排放监控位置</w:t>
                        </w:r>
                      </w:p>
                    </w:tc>
                  </w:tr>
                  <w:tr w14:paraId="4CDDEA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619" w:type="pct"/>
                        <w:vMerge w:val="restart"/>
                        <w:vAlign w:val="center"/>
                      </w:tcPr>
                      <w:p w14:paraId="386169D5">
                        <w:pPr>
                          <w:snapToGrid w:val="0"/>
                          <w:jc w:val="center"/>
                          <w:rPr>
                            <w:rFonts w:hint="eastAsia" w:eastAsia="宋体"/>
                            <w:b w:val="0"/>
                            <w:bCs w:val="0"/>
                            <w:color w:val="auto"/>
                            <w:sz w:val="21"/>
                            <w:szCs w:val="21"/>
                            <w:lang w:eastAsia="zh-CN"/>
                          </w:rPr>
                        </w:pPr>
                        <w:r>
                          <w:rPr>
                            <w:rFonts w:hint="eastAsia"/>
                            <w:b w:val="0"/>
                            <w:bCs w:val="0"/>
                            <w:color w:val="auto"/>
                            <w:sz w:val="21"/>
                            <w:szCs w:val="21"/>
                            <w:lang w:eastAsia="zh-CN"/>
                          </w:rPr>
                          <w:t>非甲烷总烃</w:t>
                        </w:r>
                      </w:p>
                    </w:tc>
                    <w:tc>
                      <w:tcPr>
                        <w:tcW w:w="729" w:type="pct"/>
                        <w:vMerge w:val="restart"/>
                        <w:vAlign w:val="center"/>
                      </w:tcPr>
                      <w:p w14:paraId="25CC2003">
                        <w:pPr>
                          <w:snapToGrid w:val="0"/>
                          <w:jc w:val="center"/>
                          <w:rPr>
                            <w:rFonts w:hint="default" w:eastAsia="宋体"/>
                            <w:b w:val="0"/>
                            <w:bCs w:val="0"/>
                            <w:color w:val="auto"/>
                            <w:sz w:val="21"/>
                            <w:szCs w:val="21"/>
                            <w:lang w:val="en-US" w:eastAsia="zh-CN"/>
                          </w:rPr>
                        </w:pPr>
                        <w:r>
                          <w:rPr>
                            <w:rFonts w:hint="eastAsia"/>
                            <w:b w:val="0"/>
                            <w:bCs w:val="0"/>
                            <w:color w:val="auto"/>
                            <w:sz w:val="21"/>
                            <w:szCs w:val="21"/>
                            <w:lang w:val="en-US" w:eastAsia="zh-CN"/>
                          </w:rPr>
                          <w:t>80</w:t>
                        </w:r>
                      </w:p>
                    </w:tc>
                    <w:tc>
                      <w:tcPr>
                        <w:tcW w:w="1128" w:type="pct"/>
                        <w:tcBorders>
                          <w:bottom w:val="single" w:color="auto" w:sz="4" w:space="0"/>
                        </w:tcBorders>
                        <w:vAlign w:val="center"/>
                      </w:tcPr>
                      <w:p w14:paraId="20F21083">
                        <w:pPr>
                          <w:snapToGrid w:val="0"/>
                          <w:jc w:val="center"/>
                          <w:rPr>
                            <w:rFonts w:hint="eastAsia"/>
                            <w:b w:val="0"/>
                            <w:bCs w:val="0"/>
                            <w:color w:val="auto"/>
                            <w:sz w:val="21"/>
                            <w:szCs w:val="21"/>
                          </w:rPr>
                        </w:pPr>
                        <w:r>
                          <w:rPr>
                            <w:rFonts w:hint="eastAsia"/>
                            <w:b w:val="0"/>
                            <w:bCs w:val="0"/>
                            <w:color w:val="auto"/>
                            <w:sz w:val="21"/>
                            <w:szCs w:val="21"/>
                          </w:rPr>
                          <w:t>1h平均浓度值</w:t>
                        </w:r>
                      </w:p>
                    </w:tc>
                    <w:tc>
                      <w:tcPr>
                        <w:tcW w:w="408" w:type="pct"/>
                        <w:tcBorders>
                          <w:bottom w:val="single" w:color="auto" w:sz="4" w:space="0"/>
                        </w:tcBorders>
                        <w:vAlign w:val="center"/>
                      </w:tcPr>
                      <w:p w14:paraId="42DFEC12">
                        <w:pPr>
                          <w:snapToGrid w:val="0"/>
                          <w:jc w:val="center"/>
                          <w:rPr>
                            <w:rFonts w:hint="eastAsia" w:eastAsia="宋体"/>
                            <w:b w:val="0"/>
                            <w:bCs w:val="0"/>
                            <w:color w:val="auto"/>
                            <w:sz w:val="21"/>
                            <w:szCs w:val="21"/>
                            <w:lang w:val="en-US" w:eastAsia="zh-CN"/>
                          </w:rPr>
                        </w:pPr>
                        <w:r>
                          <w:rPr>
                            <w:rFonts w:hint="eastAsia"/>
                            <w:b w:val="0"/>
                            <w:bCs w:val="0"/>
                            <w:color w:val="auto"/>
                            <w:sz w:val="21"/>
                            <w:szCs w:val="21"/>
                            <w:lang w:val="en-US" w:eastAsia="zh-CN"/>
                          </w:rPr>
                          <w:t>2</w:t>
                        </w:r>
                      </w:p>
                    </w:tc>
                    <w:tc>
                      <w:tcPr>
                        <w:tcW w:w="792" w:type="pct"/>
                        <w:tcBorders>
                          <w:bottom w:val="single" w:color="auto" w:sz="4" w:space="0"/>
                        </w:tcBorders>
                        <w:vAlign w:val="center"/>
                      </w:tcPr>
                      <w:p w14:paraId="73A3FD0B">
                        <w:pPr>
                          <w:snapToGrid w:val="0"/>
                          <w:jc w:val="center"/>
                          <w:rPr>
                            <w:rFonts w:hint="default"/>
                            <w:b w:val="0"/>
                            <w:bCs w:val="0"/>
                            <w:color w:val="auto"/>
                            <w:sz w:val="21"/>
                            <w:szCs w:val="21"/>
                            <w:lang w:val="en-US" w:eastAsia="zh-CN"/>
                          </w:rPr>
                        </w:pPr>
                        <w:r>
                          <w:rPr>
                            <w:rFonts w:hint="eastAsia"/>
                            <w:b w:val="0"/>
                            <w:bCs w:val="0"/>
                            <w:color w:val="auto"/>
                            <w:sz w:val="21"/>
                            <w:szCs w:val="21"/>
                            <w:lang w:val="en-US" w:eastAsia="zh-CN"/>
                          </w:rPr>
                          <w:t>10</w:t>
                        </w:r>
                      </w:p>
                    </w:tc>
                    <w:tc>
                      <w:tcPr>
                        <w:tcW w:w="1321" w:type="pct"/>
                        <w:vMerge w:val="restart"/>
                        <w:vAlign w:val="center"/>
                      </w:tcPr>
                      <w:p w14:paraId="04CA747E">
                        <w:pPr>
                          <w:snapToGrid w:val="0"/>
                          <w:jc w:val="center"/>
                          <w:rPr>
                            <w:rFonts w:hint="eastAsia"/>
                            <w:b w:val="0"/>
                            <w:bCs w:val="0"/>
                            <w:color w:val="auto"/>
                            <w:sz w:val="21"/>
                            <w:szCs w:val="21"/>
                            <w:lang w:val="en-US" w:eastAsia="zh-CN"/>
                          </w:rPr>
                        </w:pPr>
                        <w:r>
                          <w:rPr>
                            <w:rFonts w:hint="eastAsia"/>
                            <w:b w:val="0"/>
                            <w:bCs w:val="0"/>
                            <w:color w:val="auto"/>
                            <w:sz w:val="21"/>
                            <w:szCs w:val="21"/>
                            <w:lang w:val="en-US" w:eastAsia="zh-CN"/>
                          </w:rPr>
                          <w:t>在厂房外设置监控点</w:t>
                        </w:r>
                      </w:p>
                    </w:tc>
                  </w:tr>
                  <w:tr w14:paraId="639BF3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619" w:type="pct"/>
                        <w:vMerge w:val="continue"/>
                        <w:tcBorders>
                          <w:bottom w:val="single" w:color="auto" w:sz="4" w:space="0"/>
                        </w:tcBorders>
                        <w:vAlign w:val="center"/>
                      </w:tcPr>
                      <w:p w14:paraId="591235FC">
                        <w:pPr>
                          <w:snapToGrid w:val="0"/>
                          <w:jc w:val="center"/>
                          <w:rPr>
                            <w:b w:val="0"/>
                            <w:bCs w:val="0"/>
                            <w:color w:val="auto"/>
                          </w:rPr>
                        </w:pPr>
                      </w:p>
                    </w:tc>
                    <w:tc>
                      <w:tcPr>
                        <w:tcW w:w="729" w:type="pct"/>
                        <w:vMerge w:val="continue"/>
                        <w:tcBorders>
                          <w:bottom w:val="single" w:color="auto" w:sz="4" w:space="0"/>
                        </w:tcBorders>
                        <w:vAlign w:val="center"/>
                      </w:tcPr>
                      <w:p w14:paraId="2D8E145E">
                        <w:pPr>
                          <w:snapToGrid w:val="0"/>
                          <w:jc w:val="center"/>
                          <w:rPr>
                            <w:b w:val="0"/>
                            <w:bCs w:val="0"/>
                            <w:color w:val="auto"/>
                          </w:rPr>
                        </w:pPr>
                      </w:p>
                    </w:tc>
                    <w:tc>
                      <w:tcPr>
                        <w:tcW w:w="1128" w:type="pct"/>
                        <w:tcBorders>
                          <w:bottom w:val="single" w:color="auto" w:sz="4" w:space="0"/>
                        </w:tcBorders>
                        <w:vAlign w:val="center"/>
                      </w:tcPr>
                      <w:p w14:paraId="641CCFAF">
                        <w:pPr>
                          <w:snapToGrid w:val="0"/>
                          <w:jc w:val="center"/>
                          <w:rPr>
                            <w:rFonts w:hint="eastAsia"/>
                            <w:b w:val="0"/>
                            <w:bCs w:val="0"/>
                            <w:color w:val="auto"/>
                            <w:sz w:val="21"/>
                            <w:szCs w:val="21"/>
                          </w:rPr>
                        </w:pPr>
                        <w:r>
                          <w:rPr>
                            <w:rFonts w:hint="eastAsia"/>
                            <w:b w:val="0"/>
                            <w:bCs w:val="0"/>
                            <w:color w:val="auto"/>
                            <w:sz w:val="21"/>
                            <w:szCs w:val="21"/>
                            <w:lang w:eastAsia="zh-CN"/>
                          </w:rPr>
                          <w:t>任意一次</w:t>
                        </w:r>
                        <w:r>
                          <w:rPr>
                            <w:rFonts w:hint="eastAsia"/>
                            <w:b w:val="0"/>
                            <w:bCs w:val="0"/>
                            <w:color w:val="auto"/>
                            <w:sz w:val="21"/>
                            <w:szCs w:val="21"/>
                          </w:rPr>
                          <w:t>浓度值</w:t>
                        </w:r>
                      </w:p>
                    </w:tc>
                    <w:tc>
                      <w:tcPr>
                        <w:tcW w:w="408" w:type="pct"/>
                        <w:tcBorders>
                          <w:bottom w:val="single" w:color="auto" w:sz="4" w:space="0"/>
                        </w:tcBorders>
                        <w:vAlign w:val="center"/>
                      </w:tcPr>
                      <w:p w14:paraId="4DE6A09B">
                        <w:pPr>
                          <w:snapToGrid w:val="0"/>
                          <w:jc w:val="center"/>
                          <w:rPr>
                            <w:rFonts w:hint="eastAsia" w:eastAsia="宋体"/>
                            <w:b w:val="0"/>
                            <w:bCs w:val="0"/>
                            <w:color w:val="auto"/>
                            <w:sz w:val="21"/>
                            <w:szCs w:val="21"/>
                            <w:lang w:val="en-US" w:eastAsia="zh-CN"/>
                          </w:rPr>
                        </w:pPr>
                        <w:r>
                          <w:rPr>
                            <w:rFonts w:hint="eastAsia"/>
                            <w:b w:val="0"/>
                            <w:bCs w:val="0"/>
                            <w:color w:val="auto"/>
                            <w:sz w:val="21"/>
                            <w:szCs w:val="21"/>
                            <w:lang w:val="en-US" w:eastAsia="zh-CN"/>
                          </w:rPr>
                          <w:t>4</w:t>
                        </w:r>
                      </w:p>
                    </w:tc>
                    <w:tc>
                      <w:tcPr>
                        <w:tcW w:w="792" w:type="pct"/>
                        <w:tcBorders>
                          <w:bottom w:val="single" w:color="auto" w:sz="4" w:space="0"/>
                        </w:tcBorders>
                        <w:vAlign w:val="center"/>
                      </w:tcPr>
                      <w:p w14:paraId="00F15532">
                        <w:pPr>
                          <w:snapToGrid w:val="0"/>
                          <w:jc w:val="center"/>
                          <w:rPr>
                            <w:rFonts w:hint="default"/>
                            <w:b w:val="0"/>
                            <w:bCs w:val="0"/>
                            <w:color w:val="auto"/>
                            <w:sz w:val="21"/>
                            <w:szCs w:val="21"/>
                            <w:lang w:val="en-US" w:eastAsia="zh-CN"/>
                          </w:rPr>
                        </w:pPr>
                        <w:r>
                          <w:rPr>
                            <w:rFonts w:hint="eastAsia"/>
                            <w:b w:val="0"/>
                            <w:bCs w:val="0"/>
                            <w:color w:val="auto"/>
                            <w:sz w:val="21"/>
                            <w:szCs w:val="21"/>
                            <w:lang w:val="en-US" w:eastAsia="zh-CN"/>
                          </w:rPr>
                          <w:t>30</w:t>
                        </w:r>
                      </w:p>
                    </w:tc>
                    <w:tc>
                      <w:tcPr>
                        <w:tcW w:w="1321" w:type="pct"/>
                        <w:vMerge w:val="continue"/>
                        <w:tcBorders>
                          <w:bottom w:val="single" w:color="auto" w:sz="4" w:space="0"/>
                        </w:tcBorders>
                        <w:vAlign w:val="center"/>
                      </w:tcPr>
                      <w:p w14:paraId="6C3A6E78">
                        <w:pPr>
                          <w:snapToGrid w:val="0"/>
                          <w:jc w:val="center"/>
                          <w:rPr>
                            <w:rFonts w:hint="eastAsia"/>
                            <w:b/>
                            <w:bCs/>
                            <w:color w:val="auto"/>
                            <w:sz w:val="21"/>
                            <w:szCs w:val="21"/>
                            <w:lang w:val="en-US" w:eastAsia="zh-CN"/>
                          </w:rPr>
                        </w:pPr>
                      </w:p>
                    </w:tc>
                  </w:tr>
                </w:tbl>
                <w:p w14:paraId="7E82C465">
                  <w:pPr>
                    <w:numPr>
                      <w:ilvl w:val="0"/>
                      <w:numId w:val="0"/>
                    </w:numPr>
                    <w:adjustRightInd w:val="0"/>
                    <w:snapToGrid w:val="0"/>
                    <w:spacing w:line="360" w:lineRule="auto"/>
                    <w:ind w:firstLine="480" w:firstLineChars="200"/>
                    <w:rPr>
                      <w:rFonts w:hint="eastAsia" w:eastAsia="宋体"/>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eastAsia"/>
                      <w:color w:val="auto"/>
                      <w:sz w:val="24"/>
                      <w:szCs w:val="24"/>
                    </w:rPr>
                    <w:t>废水</w:t>
                  </w:r>
                </w:p>
                <w:p w14:paraId="13948FB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eastAsia="宋体"/>
                      <w:color w:val="auto"/>
                      <w:sz w:val="24"/>
                      <w:szCs w:val="24"/>
                      <w:lang w:val="en-US" w:eastAsia="zh-CN"/>
                    </w:rPr>
                  </w:pPr>
                  <w:r>
                    <w:rPr>
                      <w:rFonts w:hint="eastAsia"/>
                      <w:color w:val="auto"/>
                      <w:sz w:val="24"/>
                      <w:szCs w:val="24"/>
                    </w:rPr>
                    <w:t>项目运营期生活污水经</w:t>
                  </w:r>
                  <w:r>
                    <w:rPr>
                      <w:rFonts w:hint="eastAsia"/>
                      <w:color w:val="auto"/>
                      <w:sz w:val="24"/>
                      <w:szCs w:val="24"/>
                      <w:lang w:eastAsia="zh-CN"/>
                    </w:rPr>
                    <w:t>隔油池</w:t>
                  </w:r>
                  <w:r>
                    <w:rPr>
                      <w:rFonts w:hint="eastAsia"/>
                      <w:color w:val="auto"/>
                      <w:sz w:val="24"/>
                      <w:szCs w:val="24"/>
                      <w:lang w:val="en-US" w:eastAsia="zh-CN"/>
                    </w:rPr>
                    <w:t>+</w:t>
                  </w:r>
                  <w:r>
                    <w:rPr>
                      <w:rFonts w:hint="eastAsia"/>
                      <w:color w:val="auto"/>
                      <w:sz w:val="24"/>
                      <w:szCs w:val="24"/>
                    </w:rPr>
                    <w:t>化粪池处理</w:t>
                  </w:r>
                  <w:r>
                    <w:rPr>
                      <w:rFonts w:hint="eastAsia"/>
                      <w:color w:val="auto"/>
                      <w:sz w:val="24"/>
                      <w:szCs w:val="24"/>
                      <w:lang w:eastAsia="zh-CN"/>
                    </w:rPr>
                    <w:t>后污染物p</w:t>
                  </w:r>
                  <w:r>
                    <w:rPr>
                      <w:rFonts w:hint="eastAsia"/>
                      <w:color w:val="auto"/>
                      <w:sz w:val="24"/>
                      <w:szCs w:val="24"/>
                      <w:lang w:val="en-US" w:eastAsia="zh-CN"/>
                    </w:rPr>
                    <w:t>H、</w:t>
                  </w:r>
                  <w:r>
                    <w:rPr>
                      <w:rFonts w:hint="eastAsia"/>
                      <w:color w:val="auto"/>
                      <w:sz w:val="24"/>
                      <w:szCs w:val="24"/>
                      <w:lang w:eastAsia="zh-CN"/>
                    </w:rPr>
                    <w:t>COD</w:t>
                  </w:r>
                  <w:r>
                    <w:rPr>
                      <w:rFonts w:hint="eastAsia"/>
                      <w:color w:val="auto"/>
                      <w:sz w:val="24"/>
                      <w:szCs w:val="24"/>
                      <w:lang w:val="en-US" w:eastAsia="zh-CN"/>
                    </w:rPr>
                    <w:t>cr、</w:t>
                  </w:r>
                  <w:r>
                    <w:rPr>
                      <w:rFonts w:hint="eastAsia"/>
                      <w:color w:val="auto"/>
                      <w:sz w:val="24"/>
                      <w:szCs w:val="24"/>
                      <w:lang w:eastAsia="zh-CN"/>
                    </w:rPr>
                    <w:t>BOD</w:t>
                  </w:r>
                  <w:r>
                    <w:rPr>
                      <w:rFonts w:hint="eastAsia"/>
                      <w:color w:val="auto"/>
                      <w:sz w:val="24"/>
                      <w:szCs w:val="24"/>
                      <w:vertAlign w:val="subscript"/>
                      <w:lang w:eastAsia="zh-CN"/>
                    </w:rPr>
                    <w:t>5</w:t>
                  </w:r>
                  <w:r>
                    <w:rPr>
                      <w:rFonts w:hint="eastAsia"/>
                      <w:color w:val="auto"/>
                      <w:sz w:val="24"/>
                      <w:szCs w:val="24"/>
                      <w:vertAlign w:val="baseline"/>
                      <w:lang w:eastAsia="zh-CN"/>
                    </w:rPr>
                    <w:t>、</w:t>
                  </w:r>
                  <w:r>
                    <w:rPr>
                      <w:rFonts w:hint="eastAsia"/>
                      <w:color w:val="auto"/>
                      <w:sz w:val="24"/>
                      <w:szCs w:val="24"/>
                      <w:vertAlign w:val="baseline"/>
                      <w:lang w:val="en-US" w:eastAsia="zh-CN"/>
                    </w:rPr>
                    <w:t>SS、氨氮、TP达到</w:t>
                  </w:r>
                  <w:r>
                    <w:rPr>
                      <w:rFonts w:hint="eastAsia"/>
                      <w:color w:val="auto"/>
                      <w:sz w:val="24"/>
                      <w:szCs w:val="24"/>
                      <w:lang w:eastAsia="zh-CN"/>
                    </w:rPr>
                    <w:t>武阳创业园污水处理厂接管标准，动植物油达到《污水综合排放标准》（</w:t>
                  </w:r>
                  <w:r>
                    <w:rPr>
                      <w:rFonts w:hint="eastAsia"/>
                      <w:color w:val="auto"/>
                      <w:sz w:val="24"/>
                      <w:szCs w:val="24"/>
                      <w:lang w:val="en-US" w:eastAsia="zh-CN"/>
                    </w:rPr>
                    <w:t>GB8978-1996</w:t>
                  </w:r>
                  <w:r>
                    <w:rPr>
                      <w:rFonts w:hint="eastAsia"/>
                      <w:color w:val="auto"/>
                      <w:sz w:val="24"/>
                      <w:szCs w:val="24"/>
                      <w:lang w:eastAsia="zh-CN"/>
                    </w:rPr>
                    <w:t>）表</w:t>
                  </w:r>
                  <w:r>
                    <w:rPr>
                      <w:rFonts w:hint="eastAsia"/>
                      <w:color w:val="auto"/>
                      <w:sz w:val="24"/>
                      <w:szCs w:val="24"/>
                      <w:lang w:val="en-US" w:eastAsia="zh-CN"/>
                    </w:rPr>
                    <w:t>4中三级标准后</w:t>
                  </w:r>
                  <w:r>
                    <w:rPr>
                      <w:rFonts w:hint="eastAsia"/>
                      <w:color w:val="auto"/>
                      <w:sz w:val="24"/>
                      <w:szCs w:val="24"/>
                      <w:lang w:eastAsia="zh-CN"/>
                    </w:rPr>
                    <w:t>排入武阳创业园污水处理厂处理，尾水执行《城镇污水处理厂污染物排放标准》（</w:t>
                  </w:r>
                  <w:r>
                    <w:rPr>
                      <w:rFonts w:hint="eastAsia"/>
                      <w:color w:val="auto"/>
                      <w:sz w:val="24"/>
                      <w:szCs w:val="24"/>
                      <w:lang w:val="en-US" w:eastAsia="zh-CN"/>
                    </w:rPr>
                    <w:t>GB18918-2002</w:t>
                  </w:r>
                  <w:r>
                    <w:rPr>
                      <w:rFonts w:hint="eastAsia"/>
                      <w:color w:val="auto"/>
                      <w:sz w:val="24"/>
                      <w:szCs w:val="24"/>
                      <w:lang w:eastAsia="zh-CN"/>
                    </w:rPr>
                    <w:t>）一级</w:t>
                  </w:r>
                  <w:r>
                    <w:rPr>
                      <w:rFonts w:hint="eastAsia"/>
                      <w:color w:val="auto"/>
                      <w:sz w:val="24"/>
                      <w:szCs w:val="24"/>
                      <w:lang w:val="en-US" w:eastAsia="zh-CN"/>
                    </w:rPr>
                    <w:t>A标准后排入清丰山溪；</w:t>
                  </w:r>
                  <w:r>
                    <w:rPr>
                      <w:rFonts w:hint="eastAsia"/>
                      <w:color w:val="auto"/>
                      <w:sz w:val="24"/>
                      <w:szCs w:val="24"/>
                    </w:rPr>
                    <w:t>标准值见下表</w:t>
                  </w:r>
                  <w:r>
                    <w:rPr>
                      <w:rFonts w:hint="eastAsia" w:cs="Times New Roman"/>
                      <w:color w:val="auto"/>
                      <w:sz w:val="24"/>
                      <w:szCs w:val="24"/>
                      <w:highlight w:val="none"/>
                      <w:lang w:eastAsia="zh-CN"/>
                    </w:rPr>
                    <w:t>。</w:t>
                  </w:r>
                </w:p>
                <w:p w14:paraId="63209A4B">
                  <w:pPr>
                    <w:pStyle w:val="115"/>
                    <w:keepNext w:val="0"/>
                    <w:keepLines w:val="0"/>
                    <w:pageBreakBefore w:val="0"/>
                    <w:widowControl w:val="0"/>
                    <w:numPr>
                      <w:ilvl w:val="0"/>
                      <w:numId w:val="0"/>
                    </w:numPr>
                    <w:kinsoku/>
                    <w:wordWrap/>
                    <w:overflowPunct/>
                    <w:topLinePunct w:val="0"/>
                    <w:autoSpaceDE w:val="0"/>
                    <w:autoSpaceDN w:val="0"/>
                    <w:bidi w:val="0"/>
                    <w:adjustRightInd w:val="0"/>
                    <w:snapToGrid w:val="0"/>
                    <w:spacing w:before="0" w:beforeLines="0"/>
                    <w:textAlignment w:val="auto"/>
                    <w:rPr>
                      <w:rFonts w:hint="default"/>
                      <w:b/>
                      <w:bCs w:val="0"/>
                      <w:color w:val="auto"/>
                      <w:sz w:val="24"/>
                      <w:szCs w:val="24"/>
                    </w:rPr>
                  </w:pPr>
                  <w:r>
                    <w:rPr>
                      <w:rFonts w:hint="default" w:ascii="Times New Roman" w:hAnsi="Times New Roman" w:eastAsia="宋体" w:cs="Times New Roman"/>
                      <w:bCs w:val="0"/>
                      <w:color w:val="auto"/>
                      <w:sz w:val="24"/>
                      <w:szCs w:val="24"/>
                      <w:lang w:val="en-US" w:eastAsia="zh-CN"/>
                    </w:rPr>
                    <w:t>表</w:t>
                  </w:r>
                  <w:r>
                    <w:rPr>
                      <w:rFonts w:hint="eastAsia" w:ascii="Times New Roman" w:hAnsi="Times New Roman" w:eastAsia="宋体" w:cs="Times New Roman"/>
                      <w:bCs w:val="0"/>
                      <w:color w:val="auto"/>
                      <w:sz w:val="24"/>
                      <w:szCs w:val="24"/>
                      <w:lang w:val="en-US" w:eastAsia="zh-CN"/>
                    </w:rPr>
                    <w:t xml:space="preserve">1-4 </w:t>
                  </w:r>
                  <w:r>
                    <w:rPr>
                      <w:rFonts w:hint="default" w:ascii="Times New Roman" w:hAnsi="Times New Roman" w:eastAsia="宋体" w:cs="Times New Roman"/>
                      <w:bCs w:val="0"/>
                      <w:color w:val="auto"/>
                      <w:sz w:val="24"/>
                      <w:szCs w:val="24"/>
                      <w:lang w:val="en-US" w:eastAsia="zh-CN"/>
                    </w:rPr>
                    <w:t>废水污染物排放标准</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2288"/>
                    <w:gridCol w:w="2230"/>
                    <w:gridCol w:w="2308"/>
                  </w:tblGrid>
                  <w:tr w14:paraId="0E667F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6" w:type="pct"/>
                        <w:vAlign w:val="center"/>
                      </w:tcPr>
                      <w:p w14:paraId="3B9215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序号</w:t>
                        </w:r>
                      </w:p>
                    </w:tc>
                    <w:tc>
                      <w:tcPr>
                        <w:tcW w:w="1395" w:type="pct"/>
                        <w:vAlign w:val="center"/>
                      </w:tcPr>
                      <w:p w14:paraId="0C8433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vertAlign w:val="baseline"/>
                            <w:lang w:eastAsia="zh-CN"/>
                          </w:rPr>
                          <w:t>污染物</w:t>
                        </w:r>
                      </w:p>
                    </w:tc>
                    <w:tc>
                      <w:tcPr>
                        <w:tcW w:w="1360" w:type="pct"/>
                        <w:vAlign w:val="center"/>
                      </w:tcPr>
                      <w:p w14:paraId="0026F5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lang w:eastAsia="zh-CN"/>
                          </w:rPr>
                          <w:t>浓度限值</w:t>
                        </w:r>
                      </w:p>
                    </w:tc>
                    <w:tc>
                      <w:tcPr>
                        <w:tcW w:w="1407" w:type="pct"/>
                        <w:vAlign w:val="center"/>
                      </w:tcPr>
                      <w:p w14:paraId="384B89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cs="Times New Roman"/>
                            <w:color w:val="auto"/>
                            <w:sz w:val="21"/>
                            <w:szCs w:val="21"/>
                            <w:lang w:eastAsia="zh-CN"/>
                          </w:rPr>
                          <w:t>备注</w:t>
                        </w:r>
                      </w:p>
                    </w:tc>
                  </w:tr>
                  <w:tr w14:paraId="741D02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6" w:type="pct"/>
                        <w:vAlign w:val="center"/>
                      </w:tcPr>
                      <w:p w14:paraId="17C236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1</w:t>
                        </w:r>
                      </w:p>
                    </w:tc>
                    <w:tc>
                      <w:tcPr>
                        <w:tcW w:w="1395" w:type="pct"/>
                        <w:vAlign w:val="center"/>
                      </w:tcPr>
                      <w:p w14:paraId="1F01F1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lang w:eastAsia="zh-CN"/>
                          </w:rPr>
                          <w:t>p</w:t>
                        </w:r>
                        <w:r>
                          <w:rPr>
                            <w:rFonts w:hint="default" w:ascii="Times New Roman" w:hAnsi="Times New Roman" w:cs="Times New Roman"/>
                            <w:color w:val="auto"/>
                            <w:sz w:val="21"/>
                            <w:szCs w:val="21"/>
                            <w:lang w:val="en-US" w:eastAsia="zh-CN"/>
                          </w:rPr>
                          <w:t>H</w:t>
                        </w:r>
                      </w:p>
                    </w:tc>
                    <w:tc>
                      <w:tcPr>
                        <w:tcW w:w="1360" w:type="pct"/>
                        <w:vAlign w:val="center"/>
                      </w:tcPr>
                      <w:p w14:paraId="6846EC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6~9（无量纲）</w:t>
                        </w:r>
                      </w:p>
                    </w:tc>
                    <w:tc>
                      <w:tcPr>
                        <w:tcW w:w="1407" w:type="pct"/>
                        <w:vMerge w:val="restart"/>
                        <w:vAlign w:val="center"/>
                      </w:tcPr>
                      <w:p w14:paraId="559786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lang w:eastAsia="zh-CN"/>
                          </w:rPr>
                          <w:t>武阳创业园污水处理厂接管标准</w:t>
                        </w:r>
                      </w:p>
                    </w:tc>
                  </w:tr>
                  <w:tr w14:paraId="0895D1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6" w:type="pct"/>
                        <w:vAlign w:val="center"/>
                      </w:tcPr>
                      <w:p w14:paraId="38DE5E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c>
                      <w:tcPr>
                        <w:tcW w:w="1395" w:type="pct"/>
                        <w:vAlign w:val="center"/>
                      </w:tcPr>
                      <w:p w14:paraId="417532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COD</w:t>
                        </w:r>
                        <w:r>
                          <w:rPr>
                            <w:rFonts w:hint="default" w:ascii="Times New Roman" w:hAnsi="Times New Roman" w:cs="Times New Roman"/>
                            <w:color w:val="auto"/>
                            <w:sz w:val="21"/>
                            <w:szCs w:val="21"/>
                            <w:lang w:val="en-US" w:eastAsia="zh-CN"/>
                          </w:rPr>
                          <w:t>cr</w:t>
                        </w:r>
                      </w:p>
                    </w:tc>
                    <w:tc>
                      <w:tcPr>
                        <w:tcW w:w="1360" w:type="pct"/>
                        <w:vAlign w:val="center"/>
                      </w:tcPr>
                      <w:p w14:paraId="355967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400</w:t>
                        </w:r>
                      </w:p>
                    </w:tc>
                    <w:tc>
                      <w:tcPr>
                        <w:tcW w:w="1407" w:type="pct"/>
                        <w:vMerge w:val="continue"/>
                        <w:vAlign w:val="center"/>
                      </w:tcPr>
                      <w:p w14:paraId="4CF249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r>
                  <w:tr w14:paraId="0A1178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6" w:type="pct"/>
                        <w:vAlign w:val="center"/>
                      </w:tcPr>
                      <w:p w14:paraId="2AFE33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w:t>
                        </w:r>
                      </w:p>
                    </w:tc>
                    <w:tc>
                      <w:tcPr>
                        <w:tcW w:w="1395" w:type="pct"/>
                        <w:vAlign w:val="center"/>
                      </w:tcPr>
                      <w:p w14:paraId="601B2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BOD</w:t>
                        </w:r>
                        <w:r>
                          <w:rPr>
                            <w:rFonts w:hint="default" w:ascii="Times New Roman" w:hAnsi="Times New Roman" w:cs="Times New Roman"/>
                            <w:color w:val="auto"/>
                            <w:sz w:val="21"/>
                            <w:szCs w:val="21"/>
                            <w:vertAlign w:val="subscript"/>
                            <w:lang w:eastAsia="zh-CN"/>
                          </w:rPr>
                          <w:t>5</w:t>
                        </w:r>
                      </w:p>
                    </w:tc>
                    <w:tc>
                      <w:tcPr>
                        <w:tcW w:w="1360" w:type="pct"/>
                        <w:vAlign w:val="center"/>
                      </w:tcPr>
                      <w:p w14:paraId="5418B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250</w:t>
                        </w:r>
                      </w:p>
                    </w:tc>
                    <w:tc>
                      <w:tcPr>
                        <w:tcW w:w="1407" w:type="pct"/>
                        <w:vMerge w:val="continue"/>
                        <w:vAlign w:val="center"/>
                      </w:tcPr>
                      <w:p w14:paraId="51461C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r>
                  <w:tr w14:paraId="05A196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6" w:type="pct"/>
                        <w:vAlign w:val="center"/>
                      </w:tcPr>
                      <w:p w14:paraId="3E45C4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w:t>
                        </w:r>
                      </w:p>
                    </w:tc>
                    <w:tc>
                      <w:tcPr>
                        <w:tcW w:w="1395" w:type="pct"/>
                        <w:vAlign w:val="center"/>
                      </w:tcPr>
                      <w:p w14:paraId="0EA27C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vertAlign w:val="baseline"/>
                            <w:lang w:val="en-US" w:eastAsia="zh-CN"/>
                          </w:rPr>
                          <w:t>SS</w:t>
                        </w:r>
                      </w:p>
                    </w:tc>
                    <w:tc>
                      <w:tcPr>
                        <w:tcW w:w="1360" w:type="pct"/>
                        <w:vAlign w:val="center"/>
                      </w:tcPr>
                      <w:p w14:paraId="55B13F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350</w:t>
                        </w:r>
                      </w:p>
                    </w:tc>
                    <w:tc>
                      <w:tcPr>
                        <w:tcW w:w="1407" w:type="pct"/>
                        <w:vMerge w:val="continue"/>
                        <w:vAlign w:val="center"/>
                      </w:tcPr>
                      <w:p w14:paraId="43BCB4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r>
                  <w:tr w14:paraId="6BC80F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6" w:type="pct"/>
                        <w:vAlign w:val="center"/>
                      </w:tcPr>
                      <w:p w14:paraId="264FDD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w:t>
                        </w:r>
                      </w:p>
                    </w:tc>
                    <w:tc>
                      <w:tcPr>
                        <w:tcW w:w="1395" w:type="pct"/>
                        <w:vAlign w:val="center"/>
                      </w:tcPr>
                      <w:p w14:paraId="171F96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vertAlign w:val="baseline"/>
                            <w:lang w:val="en-US" w:eastAsia="zh-CN"/>
                          </w:rPr>
                          <w:t>氨氮</w:t>
                        </w:r>
                      </w:p>
                    </w:tc>
                    <w:tc>
                      <w:tcPr>
                        <w:tcW w:w="1360" w:type="pct"/>
                        <w:vAlign w:val="center"/>
                      </w:tcPr>
                      <w:p w14:paraId="264790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40</w:t>
                        </w:r>
                      </w:p>
                    </w:tc>
                    <w:tc>
                      <w:tcPr>
                        <w:tcW w:w="1407" w:type="pct"/>
                        <w:vMerge w:val="continue"/>
                        <w:vAlign w:val="center"/>
                      </w:tcPr>
                      <w:p w14:paraId="345189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r>
                  <w:tr w14:paraId="1B2257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6" w:type="pct"/>
                        <w:vAlign w:val="center"/>
                      </w:tcPr>
                      <w:p w14:paraId="70514B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w:t>
                        </w:r>
                      </w:p>
                    </w:tc>
                    <w:tc>
                      <w:tcPr>
                        <w:tcW w:w="1395" w:type="pct"/>
                        <w:vAlign w:val="center"/>
                      </w:tcPr>
                      <w:p w14:paraId="374E1B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vertAlign w:val="baseline"/>
                            <w:lang w:val="en-US" w:eastAsia="zh-CN"/>
                          </w:rPr>
                          <w:t>TP</w:t>
                        </w:r>
                      </w:p>
                    </w:tc>
                    <w:tc>
                      <w:tcPr>
                        <w:tcW w:w="1360" w:type="pct"/>
                        <w:vAlign w:val="center"/>
                      </w:tcPr>
                      <w:p w14:paraId="46A164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w:t>
                        </w:r>
                      </w:p>
                    </w:tc>
                    <w:tc>
                      <w:tcPr>
                        <w:tcW w:w="1407" w:type="pct"/>
                        <w:vMerge w:val="continue"/>
                        <w:vAlign w:val="center"/>
                      </w:tcPr>
                      <w:p w14:paraId="3411CD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r>
                  <w:tr w14:paraId="5BC66A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6" w:type="pct"/>
                        <w:vAlign w:val="center"/>
                      </w:tcPr>
                      <w:p w14:paraId="73A219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w:t>
                        </w:r>
                      </w:p>
                    </w:tc>
                    <w:tc>
                      <w:tcPr>
                        <w:tcW w:w="1395" w:type="pct"/>
                        <w:vAlign w:val="center"/>
                      </w:tcPr>
                      <w:p w14:paraId="282AF5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动植物油</w:t>
                        </w:r>
                      </w:p>
                    </w:tc>
                    <w:tc>
                      <w:tcPr>
                        <w:tcW w:w="1360" w:type="pct"/>
                        <w:vAlign w:val="center"/>
                      </w:tcPr>
                      <w:p w14:paraId="183A9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100</w:t>
                        </w:r>
                      </w:p>
                    </w:tc>
                    <w:tc>
                      <w:tcPr>
                        <w:tcW w:w="1407" w:type="pct"/>
                        <w:vAlign w:val="center"/>
                      </w:tcPr>
                      <w:p w14:paraId="5C852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《污水综合排放标准》（</w:t>
                        </w:r>
                        <w:r>
                          <w:rPr>
                            <w:rFonts w:hint="default" w:ascii="Times New Roman" w:hAnsi="Times New Roman" w:cs="Times New Roman"/>
                            <w:color w:val="auto"/>
                            <w:sz w:val="21"/>
                            <w:szCs w:val="21"/>
                            <w:lang w:val="en-US" w:eastAsia="zh-CN"/>
                          </w:rPr>
                          <w:t>GB8978-1996</w:t>
                        </w:r>
                        <w:r>
                          <w:rPr>
                            <w:rFonts w:hint="default" w:ascii="Times New Roman" w:hAnsi="Times New Roman" w:cs="Times New Roman"/>
                            <w:color w:val="auto"/>
                            <w:sz w:val="21"/>
                            <w:szCs w:val="21"/>
                            <w:lang w:eastAsia="zh-CN"/>
                          </w:rPr>
                          <w:t>）表</w:t>
                        </w:r>
                        <w:r>
                          <w:rPr>
                            <w:rFonts w:hint="default" w:ascii="Times New Roman" w:hAnsi="Times New Roman" w:cs="Times New Roman"/>
                            <w:color w:val="auto"/>
                            <w:sz w:val="21"/>
                            <w:szCs w:val="21"/>
                            <w:lang w:val="en-US" w:eastAsia="zh-CN"/>
                          </w:rPr>
                          <w:t>4中三级标准</w:t>
                        </w:r>
                      </w:p>
                    </w:tc>
                  </w:tr>
                </w:tbl>
                <w:p w14:paraId="29FFC47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color w:val="auto"/>
                      <w:sz w:val="24"/>
                      <w:szCs w:val="24"/>
                    </w:rPr>
                    <w:t>厂界噪声</w:t>
                  </w:r>
                </w:p>
                <w:p w14:paraId="3C68AB55">
                  <w:pPr>
                    <w:keepNext w:val="0"/>
                    <w:keepLines w:val="0"/>
                    <w:pageBreakBefore w:val="0"/>
                    <w:widowControl w:val="0"/>
                    <w:kinsoku/>
                    <w:wordWrap/>
                    <w:overflowPunct/>
                    <w:topLinePunct w:val="0"/>
                    <w:autoSpaceDE/>
                    <w:autoSpaceDN/>
                    <w:bidi w:val="0"/>
                    <w:spacing w:line="360" w:lineRule="auto"/>
                    <w:ind w:firstLine="480" w:firstLineChars="200"/>
                    <w:textAlignment w:val="auto"/>
                    <w:rPr>
                      <w:color w:val="auto"/>
                      <w:sz w:val="24"/>
                      <w:szCs w:val="24"/>
                    </w:rPr>
                  </w:pPr>
                  <w:r>
                    <w:rPr>
                      <w:rFonts w:hint="eastAsia"/>
                      <w:color w:val="auto"/>
                      <w:sz w:val="24"/>
                    </w:rPr>
                    <w:t>项目</w:t>
                  </w:r>
                  <w:r>
                    <w:rPr>
                      <w:color w:val="auto"/>
                      <w:sz w:val="24"/>
                    </w:rPr>
                    <w:t>运营期厂界噪声执行《工业企业厂界环境噪声排放标准》（GB12348-2008）</w:t>
                  </w:r>
                  <w:r>
                    <w:rPr>
                      <w:rFonts w:hint="eastAsia"/>
                      <w:color w:val="auto"/>
                      <w:sz w:val="24"/>
                      <w:lang w:val="en-US" w:eastAsia="zh-CN"/>
                    </w:rPr>
                    <w:t>3</w:t>
                  </w:r>
                  <w:r>
                    <w:rPr>
                      <w:color w:val="auto"/>
                      <w:sz w:val="24"/>
                    </w:rPr>
                    <w:t>类排放标准</w:t>
                  </w:r>
                  <w:r>
                    <w:rPr>
                      <w:rFonts w:hint="eastAsia"/>
                      <w:color w:val="auto"/>
                      <w:sz w:val="24"/>
                      <w:lang w:eastAsia="zh-CN"/>
                    </w:rPr>
                    <w:t>。</w:t>
                  </w:r>
                  <w:r>
                    <w:rPr>
                      <w:color w:val="auto"/>
                      <w:sz w:val="24"/>
                    </w:rPr>
                    <w:t>具体标准限值见表</w:t>
                  </w:r>
                  <w:r>
                    <w:rPr>
                      <w:rFonts w:hint="eastAsia"/>
                      <w:color w:val="auto"/>
                      <w:sz w:val="24"/>
                      <w:lang w:val="en-US" w:eastAsia="zh-CN"/>
                    </w:rPr>
                    <w:t>1-5</w:t>
                  </w:r>
                  <w:r>
                    <w:rPr>
                      <w:color w:val="auto"/>
                      <w:sz w:val="24"/>
                    </w:rPr>
                    <w:t>。</w:t>
                  </w:r>
                </w:p>
                <w:p w14:paraId="1905C068">
                  <w:pPr>
                    <w:pStyle w:val="115"/>
                    <w:keepNext w:val="0"/>
                    <w:keepLines w:val="0"/>
                    <w:pageBreakBefore w:val="0"/>
                    <w:widowControl w:val="0"/>
                    <w:numPr>
                      <w:ilvl w:val="0"/>
                      <w:numId w:val="0"/>
                    </w:numPr>
                    <w:kinsoku/>
                    <w:wordWrap/>
                    <w:overflowPunct/>
                    <w:topLinePunct w:val="0"/>
                    <w:autoSpaceDE w:val="0"/>
                    <w:autoSpaceDN w:val="0"/>
                    <w:bidi w:val="0"/>
                    <w:adjustRightInd w:val="0"/>
                    <w:snapToGrid w:val="0"/>
                    <w:spacing w:before="0" w:beforeLines="0"/>
                    <w:textAlignment w:val="auto"/>
                    <w:rPr>
                      <w:rFonts w:hint="default" w:ascii="Times New Roman" w:hAnsi="Times New Roman" w:eastAsia="宋体" w:cs="Times New Roman"/>
                      <w:bCs w:val="0"/>
                      <w:color w:val="auto"/>
                      <w:sz w:val="24"/>
                      <w:szCs w:val="24"/>
                      <w:lang w:val="en-US" w:eastAsia="zh-CN"/>
                    </w:rPr>
                  </w:pPr>
                  <w:r>
                    <w:rPr>
                      <w:rFonts w:hint="default" w:ascii="Times New Roman" w:hAnsi="Times New Roman" w:eastAsia="宋体" w:cs="Times New Roman"/>
                      <w:bCs w:val="0"/>
                      <w:color w:val="auto"/>
                      <w:sz w:val="24"/>
                      <w:szCs w:val="24"/>
                      <w:lang w:val="en-US" w:eastAsia="zh-CN"/>
                    </w:rPr>
                    <w:t>表</w:t>
                  </w:r>
                  <w:r>
                    <w:rPr>
                      <w:rFonts w:hint="eastAsia" w:ascii="Times New Roman" w:hAnsi="Times New Roman" w:eastAsia="宋体" w:cs="Times New Roman"/>
                      <w:bCs w:val="0"/>
                      <w:color w:val="auto"/>
                      <w:sz w:val="24"/>
                      <w:szCs w:val="24"/>
                      <w:lang w:val="en-US" w:eastAsia="zh-CN"/>
                    </w:rPr>
                    <w:t xml:space="preserve">1-5 </w:t>
                  </w:r>
                  <w:r>
                    <w:rPr>
                      <w:rFonts w:hint="default" w:ascii="Times New Roman" w:hAnsi="Times New Roman" w:eastAsia="宋体" w:cs="Times New Roman"/>
                      <w:bCs w:val="0"/>
                      <w:color w:val="auto"/>
                      <w:sz w:val="24"/>
                      <w:szCs w:val="24"/>
                      <w:lang w:val="en-US" w:eastAsia="zh-CN"/>
                    </w:rPr>
                    <w:t>工业企业厂界环境噪声排放限值   单位：dB（A）</w:t>
                  </w:r>
                </w:p>
                <w:tbl>
                  <w:tblPr>
                    <w:tblStyle w:val="34"/>
                    <w:tblW w:w="4998" w:type="pct"/>
                    <w:jc w:val="center"/>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2976"/>
                    <w:gridCol w:w="2230"/>
                    <w:gridCol w:w="2044"/>
                  </w:tblGrid>
                  <w:tr w14:paraId="5E2B21D9">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576" w:type="pct"/>
                        <w:tcBorders>
                          <w:tl2br w:val="nil"/>
                          <w:tr2bl w:val="nil"/>
                        </w:tcBorders>
                        <w:vAlign w:val="center"/>
                      </w:tcPr>
                      <w:p w14:paraId="01B029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color w:val="auto"/>
                          </w:rPr>
                          <w:t>时段</w:t>
                        </w:r>
                      </w:p>
                    </w:tc>
                    <w:tc>
                      <w:tcPr>
                        <w:tcW w:w="1815" w:type="pct"/>
                        <w:tcBorders>
                          <w:tl2br w:val="nil"/>
                          <w:tr2bl w:val="nil"/>
                        </w:tcBorders>
                        <w:vAlign w:val="center"/>
                      </w:tcPr>
                      <w:p w14:paraId="1E9DEB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color w:val="auto"/>
                          </w:rPr>
                          <w:t>标准</w:t>
                        </w:r>
                      </w:p>
                    </w:tc>
                    <w:tc>
                      <w:tcPr>
                        <w:tcW w:w="1360" w:type="pct"/>
                        <w:tcBorders>
                          <w:right w:val="single" w:color="000000" w:sz="4" w:space="0"/>
                          <w:tl2br w:val="nil"/>
                          <w:tr2bl w:val="nil"/>
                        </w:tcBorders>
                        <w:vAlign w:val="center"/>
                      </w:tcPr>
                      <w:p w14:paraId="04E019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color w:val="auto"/>
                          </w:rPr>
                          <w:t>昼间</w:t>
                        </w:r>
                      </w:p>
                    </w:tc>
                    <w:tc>
                      <w:tcPr>
                        <w:tcW w:w="1247" w:type="pct"/>
                        <w:tcBorders>
                          <w:left w:val="single" w:color="000000" w:sz="4" w:space="0"/>
                          <w:tl2br w:val="nil"/>
                          <w:tr2bl w:val="nil"/>
                        </w:tcBorders>
                        <w:vAlign w:val="center"/>
                      </w:tcPr>
                      <w:p w14:paraId="49B06E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color w:val="auto"/>
                          </w:rPr>
                          <w:t>夜间</w:t>
                        </w:r>
                      </w:p>
                    </w:tc>
                  </w:tr>
                  <w:tr w14:paraId="1129389D">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576" w:type="pct"/>
                        <w:tcBorders>
                          <w:tl2br w:val="nil"/>
                          <w:tr2bl w:val="nil"/>
                        </w:tcBorders>
                        <w:vAlign w:val="center"/>
                      </w:tcPr>
                      <w:p w14:paraId="3935D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color w:val="auto"/>
                          </w:rPr>
                          <w:t>运营期</w:t>
                        </w:r>
                      </w:p>
                    </w:tc>
                    <w:tc>
                      <w:tcPr>
                        <w:tcW w:w="1815" w:type="pct"/>
                        <w:tcBorders>
                          <w:tl2br w:val="nil"/>
                          <w:tr2bl w:val="nil"/>
                        </w:tcBorders>
                        <w:vAlign w:val="center"/>
                      </w:tcPr>
                      <w:p w14:paraId="715137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color w:val="auto"/>
                          </w:rPr>
                          <w:t>GB12348-2008中</w:t>
                        </w:r>
                        <w:r>
                          <w:rPr>
                            <w:rFonts w:hint="eastAsia"/>
                            <w:color w:val="auto"/>
                            <w:lang w:val="en-US" w:eastAsia="zh-CN"/>
                          </w:rPr>
                          <w:t>3</w:t>
                        </w:r>
                        <w:r>
                          <w:rPr>
                            <w:rFonts w:hint="eastAsia"/>
                            <w:color w:val="auto"/>
                          </w:rPr>
                          <w:t>类标准</w:t>
                        </w:r>
                      </w:p>
                    </w:tc>
                    <w:tc>
                      <w:tcPr>
                        <w:tcW w:w="1360" w:type="pct"/>
                        <w:tcBorders>
                          <w:top w:val="single" w:color="000000" w:sz="4" w:space="0"/>
                          <w:bottom w:val="single" w:color="000000" w:sz="4" w:space="0"/>
                          <w:right w:val="single" w:color="000000" w:sz="4" w:space="0"/>
                          <w:tl2br w:val="nil"/>
                          <w:tr2bl w:val="nil"/>
                        </w:tcBorders>
                        <w:vAlign w:val="center"/>
                      </w:tcPr>
                      <w:p w14:paraId="480CDB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color w:val="auto"/>
                            <w:lang w:val="en-US" w:eastAsia="zh-CN"/>
                          </w:rPr>
                          <w:t>65</w:t>
                        </w:r>
                        <w:r>
                          <w:rPr>
                            <w:rFonts w:hint="eastAsia"/>
                            <w:color w:val="auto"/>
                          </w:rPr>
                          <w:t>dB（A）</w:t>
                        </w:r>
                      </w:p>
                    </w:tc>
                    <w:tc>
                      <w:tcPr>
                        <w:tcW w:w="1247" w:type="pct"/>
                        <w:tcBorders>
                          <w:top w:val="single" w:color="000000" w:sz="4" w:space="0"/>
                          <w:left w:val="single" w:color="000000" w:sz="4" w:space="0"/>
                          <w:bottom w:val="single" w:color="000000" w:sz="4" w:space="0"/>
                          <w:tl2br w:val="nil"/>
                          <w:tr2bl w:val="nil"/>
                        </w:tcBorders>
                        <w:vAlign w:val="center"/>
                      </w:tcPr>
                      <w:p w14:paraId="4A6AE5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color w:val="auto"/>
                            <w:lang w:val="en-US" w:eastAsia="zh-CN"/>
                          </w:rPr>
                          <w:t>55</w:t>
                        </w:r>
                        <w:r>
                          <w:rPr>
                            <w:rFonts w:hint="eastAsia"/>
                            <w:color w:val="auto"/>
                          </w:rPr>
                          <w:t>dB（A）</w:t>
                        </w:r>
                      </w:p>
                    </w:tc>
                  </w:tr>
                </w:tbl>
                <w:p w14:paraId="57915DA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rPr>
                    <w:t>固体废物</w:t>
                  </w:r>
                </w:p>
                <w:p w14:paraId="0350924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rPr>
                  </w:pPr>
                  <w:r>
                    <w:rPr>
                      <w:rFonts w:hint="eastAsia"/>
                      <w:color w:val="auto"/>
                      <w:kern w:val="18"/>
                      <w:sz w:val="24"/>
                      <w:szCs w:val="20"/>
                    </w:rPr>
                    <w:t>本项目运营期产生的危险废物贮存执行《危险废物贮存污染控制标准》（GB 18597-2023）；一般工业固体废物贮存过程应满足相应防扬尘、防雨淋、防渗漏等环境保护要求。</w:t>
                  </w:r>
                </w:p>
                <w:p w14:paraId="1015E92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（5）总量控制指标</w:t>
                  </w:r>
                </w:p>
                <w:p w14:paraId="3AB05FEB">
                  <w:pPr>
                    <w:adjustRightInd w:val="0"/>
                    <w:snapToGrid w:val="0"/>
                    <w:spacing w:line="360" w:lineRule="auto"/>
                    <w:ind w:firstLine="480" w:firstLineChars="200"/>
                    <w:rPr>
                      <w:rFonts w:hint="eastAsia" w:ascii="Times New Roman" w:hAnsi="Times New Roman" w:eastAsia="宋体" w:cs="Times New Roman"/>
                      <w:color w:val="auto"/>
                      <w:sz w:val="24"/>
                      <w:szCs w:val="24"/>
                      <w:lang w:eastAsia="zh-CN"/>
                    </w:rPr>
                  </w:pPr>
                  <w:r>
                    <w:rPr>
                      <w:rFonts w:hint="eastAsia" w:hAnsi="宋体"/>
                      <w:color w:val="auto"/>
                      <w:sz w:val="24"/>
                      <w:shd w:val="clear"/>
                      <w:lang w:eastAsia="zh-CN"/>
                    </w:rPr>
                    <w:t>本项目总量指标</w:t>
                  </w:r>
                  <w:r>
                    <w:rPr>
                      <w:rFonts w:hint="eastAsia" w:hAnsi="宋体"/>
                      <w:color w:val="auto"/>
                      <w:sz w:val="24"/>
                      <w:shd w:val="clear"/>
                      <w:lang w:val="en-US" w:eastAsia="zh-CN"/>
                    </w:rPr>
                    <w:t>CODcr：0.122t/a，NH</w:t>
                  </w:r>
                  <w:r>
                    <w:rPr>
                      <w:rFonts w:hint="eastAsia" w:hAnsi="宋体"/>
                      <w:color w:val="auto"/>
                      <w:sz w:val="24"/>
                      <w:shd w:val="clear"/>
                      <w:vertAlign w:val="subscript"/>
                      <w:lang w:val="en-US" w:eastAsia="zh-CN"/>
                    </w:rPr>
                    <w:t>3</w:t>
                  </w:r>
                  <w:r>
                    <w:rPr>
                      <w:rFonts w:hint="eastAsia" w:hAnsi="宋体"/>
                      <w:color w:val="auto"/>
                      <w:sz w:val="24"/>
                      <w:shd w:val="clear"/>
                      <w:lang w:val="en-US" w:eastAsia="zh-CN"/>
                    </w:rPr>
                    <w:t>-N：0.012t/a，VOCs：0.815t/a</w:t>
                  </w:r>
                  <w:r>
                    <w:rPr>
                      <w:rFonts w:hint="eastAsia" w:hAnsi="宋体"/>
                      <w:color w:val="auto"/>
                      <w:sz w:val="24"/>
                      <w:shd w:val="clear"/>
                      <w:lang w:eastAsia="zh-CN"/>
                    </w:rPr>
                    <w:t>。严格执行生态环境主管部门下达的总量控制要求。</w:t>
                  </w:r>
                </w:p>
              </w:tc>
            </w:tr>
          </w:tbl>
          <w:p w14:paraId="0F50C773">
            <w:pPr>
              <w:spacing w:line="360" w:lineRule="auto"/>
              <w:ind w:firstLine="480" w:firstLineChars="200"/>
              <w:jc w:val="left"/>
              <w:rPr>
                <w:color w:val="auto"/>
                <w:kern w:val="0"/>
                <w:sz w:val="24"/>
                <w:szCs w:val="24"/>
              </w:rPr>
            </w:pPr>
          </w:p>
        </w:tc>
      </w:tr>
    </w:tbl>
    <w:p w14:paraId="073150DD">
      <w:pPr>
        <w:bidi w:val="0"/>
        <w:rPr>
          <w:color w:val="auto"/>
        </w:rPr>
      </w:pPr>
      <w:bookmarkStart w:id="1" w:name="_Toc523906056"/>
    </w:p>
    <w:bookmarkEnd w:id="1"/>
    <w:p w14:paraId="5B848F08">
      <w:pPr>
        <w:bidi w:val="0"/>
        <w:rPr>
          <w:rFonts w:hint="eastAsia"/>
          <w:color w:val="auto"/>
        </w:rPr>
      </w:pPr>
    </w:p>
    <w:p w14:paraId="166E1E3D">
      <w:pPr>
        <w:pStyle w:val="7"/>
        <w:rPr>
          <w:rFonts w:hint="default"/>
          <w:color w:val="auto"/>
          <w:vertAlign w:val="baseline"/>
          <w:lang w:val="en-US" w:eastAsia="zh-CN"/>
        </w:rPr>
      </w:pPr>
      <w:r>
        <w:rPr>
          <w:rFonts w:hint="eastAsia"/>
          <w:color w:val="auto"/>
          <w:lang w:eastAsia="zh-CN"/>
        </w:rPr>
        <w:t>表二项目概况</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9"/>
      </w:tblGrid>
      <w:tr w14:paraId="2AA9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1" w:hRule="atLeast"/>
        </w:trPr>
        <w:tc>
          <w:tcPr>
            <w:tcW w:w="9629" w:type="dxa"/>
          </w:tcPr>
          <w:p w14:paraId="7E150B19">
            <w:pPr>
              <w:spacing w:line="360" w:lineRule="auto"/>
              <w:jc w:val="left"/>
              <w:rPr>
                <w:b/>
                <w:bCs/>
                <w:color w:val="auto"/>
                <w:sz w:val="24"/>
                <w:szCs w:val="24"/>
              </w:rPr>
            </w:pPr>
            <w:r>
              <w:rPr>
                <w:rFonts w:hint="eastAsia"/>
                <w:b/>
                <w:bCs/>
                <w:color w:val="auto"/>
                <w:sz w:val="24"/>
                <w:szCs w:val="24"/>
              </w:rPr>
              <w:t>2.1建设项目基本情况</w:t>
            </w:r>
          </w:p>
          <w:p w14:paraId="251DE13C">
            <w:pPr>
              <w:adjustRightInd w:val="0"/>
              <w:snapToGrid w:val="0"/>
              <w:spacing w:line="360" w:lineRule="auto"/>
              <w:ind w:firstLine="480" w:firstLineChars="200"/>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本项目位于江西省南昌市南昌县八一乡胡华村雪芹路67号，中心地理位置坐标为</w:t>
            </w:r>
            <w:r>
              <w:rPr>
                <w:rFonts w:hint="default" w:ascii="Times New Roman" w:hAnsi="Times New Roman" w:cs="Times New Roman"/>
                <w:color w:val="auto"/>
                <w:sz w:val="24"/>
                <w:szCs w:val="24"/>
                <w:highlight w:val="none"/>
                <w:lang w:eastAsia="zh-CN"/>
              </w:rPr>
              <w:t>东经115度59分59.462秒</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北纬28度33分8.418秒</w:t>
            </w:r>
            <w:r>
              <w:rPr>
                <w:rFonts w:hint="eastAsia" w:cs="Times New Roman"/>
                <w:color w:val="auto"/>
                <w:sz w:val="24"/>
                <w:szCs w:val="24"/>
                <w:highlight w:val="none"/>
                <w:lang w:eastAsia="zh-CN"/>
              </w:rPr>
              <w:t>，</w:t>
            </w:r>
            <w:r>
              <w:rPr>
                <w:rFonts w:hint="eastAsia"/>
                <w:color w:val="auto"/>
                <w:sz w:val="24"/>
                <w:lang w:eastAsia="zh-CN"/>
              </w:rPr>
              <w:t>新建</w:t>
            </w:r>
            <w:r>
              <w:rPr>
                <w:color w:val="auto"/>
                <w:sz w:val="24"/>
              </w:rPr>
              <w:t>厂房（</w:t>
            </w:r>
            <w:r>
              <w:rPr>
                <w:rFonts w:hint="eastAsia"/>
                <w:color w:val="auto"/>
                <w:sz w:val="24"/>
                <w:lang w:eastAsia="zh-CN"/>
              </w:rPr>
              <w:t>用地</w:t>
            </w:r>
            <w:r>
              <w:rPr>
                <w:color w:val="auto"/>
                <w:sz w:val="24"/>
              </w:rPr>
              <w:t>面积</w:t>
            </w:r>
            <w:r>
              <w:rPr>
                <w:rFonts w:hint="eastAsia"/>
                <w:color w:val="auto"/>
                <w:sz w:val="24"/>
              </w:rPr>
              <w:t>31645.23</w:t>
            </w:r>
            <w:r>
              <w:rPr>
                <w:color w:val="auto"/>
                <w:sz w:val="24"/>
              </w:rPr>
              <w:t>m</w:t>
            </w:r>
            <w:r>
              <w:rPr>
                <w:color w:val="auto"/>
                <w:sz w:val="24"/>
                <w:vertAlign w:val="superscript"/>
              </w:rPr>
              <w:t>2</w:t>
            </w:r>
            <w:r>
              <w:rPr>
                <w:color w:val="auto"/>
                <w:sz w:val="24"/>
              </w:rPr>
              <w:t>）建设</w:t>
            </w:r>
            <w:r>
              <w:rPr>
                <w:rFonts w:hint="eastAsia"/>
                <w:color w:val="auto"/>
                <w:sz w:val="24"/>
              </w:rPr>
              <w:t>水联江西管道装备有限公司年产20万吨螺旋管50万涂塑项目</w:t>
            </w:r>
            <w:r>
              <w:rPr>
                <w:rFonts w:hint="eastAsia" w:ascii="Times New Roman" w:hAnsi="Times New Roman" w:eastAsia="宋体" w:cs="Times New Roman"/>
                <w:color w:val="auto"/>
                <w:sz w:val="24"/>
                <w:szCs w:val="24"/>
                <w:highlight w:val="none"/>
                <w:lang w:eastAsia="zh-CN"/>
              </w:rPr>
              <w:t>。</w:t>
            </w:r>
          </w:p>
          <w:p w14:paraId="204AAEE0">
            <w:pPr>
              <w:pStyle w:val="98"/>
              <w:snapToGrid w:val="0"/>
              <w:ind w:firstLine="480"/>
              <w:rPr>
                <w:rFonts w:hint="default"/>
                <w:color w:val="auto"/>
                <w:sz w:val="24"/>
                <w:szCs w:val="24"/>
                <w:highlight w:val="none"/>
                <w:lang w:val="en-US"/>
              </w:rPr>
            </w:pPr>
            <w:r>
              <w:rPr>
                <w:rFonts w:hint="eastAsia"/>
                <w:color w:val="auto"/>
                <w:sz w:val="24"/>
              </w:rPr>
              <w:t>水联</w:t>
            </w:r>
            <w:r>
              <w:rPr>
                <w:rFonts w:hint="eastAsia"/>
                <w:color w:val="auto"/>
                <w:sz w:val="24"/>
                <w:lang w:eastAsia="zh-CN"/>
              </w:rPr>
              <w:t>（</w:t>
            </w:r>
            <w:r>
              <w:rPr>
                <w:rFonts w:hint="eastAsia"/>
                <w:color w:val="auto"/>
                <w:sz w:val="24"/>
              </w:rPr>
              <w:t>江西</w:t>
            </w:r>
            <w:r>
              <w:rPr>
                <w:rFonts w:hint="eastAsia"/>
                <w:color w:val="auto"/>
                <w:sz w:val="24"/>
                <w:lang w:eastAsia="zh-CN"/>
              </w:rPr>
              <w:t>）</w:t>
            </w:r>
            <w:r>
              <w:rPr>
                <w:rFonts w:hint="eastAsia"/>
                <w:color w:val="auto"/>
                <w:sz w:val="24"/>
              </w:rPr>
              <w:t>管道装备有限公司</w:t>
            </w:r>
            <w:r>
              <w:rPr>
                <w:rFonts w:hint="default" w:ascii="Times New Roman" w:hAnsi="Times New Roman" w:cs="Times New Roman"/>
                <w:color w:val="auto"/>
                <w:kern w:val="0"/>
                <w:sz w:val="24"/>
                <w:szCs w:val="24"/>
                <w:highlight w:val="none"/>
                <w:lang w:val="en-US" w:eastAsia="zh-CN" w:bidi="ar"/>
              </w:rPr>
              <w:t>委托新创环保技术服务有限公司承担该项目的环境影响评价工作</w:t>
            </w:r>
            <w:r>
              <w:rPr>
                <w:rFonts w:hint="eastAsia"/>
                <w:color w:val="auto"/>
                <w:sz w:val="24"/>
                <w:szCs w:val="24"/>
                <w:highlight w:val="none"/>
                <w:lang w:eastAsia="zh-CN"/>
              </w:rPr>
              <w:t>。</w:t>
            </w:r>
            <w:r>
              <w:rPr>
                <w:rFonts w:hint="eastAsia"/>
                <w:color w:val="auto"/>
                <w:sz w:val="24"/>
                <w:szCs w:val="24"/>
                <w:highlight w:val="none"/>
                <w:lang w:val="en-US" w:eastAsia="zh-CN"/>
              </w:rPr>
              <w:t>2024</w:t>
            </w:r>
            <w:r>
              <w:rPr>
                <w:rFonts w:hint="eastAsia"/>
                <w:color w:val="auto"/>
                <w:sz w:val="24"/>
                <w:szCs w:val="24"/>
                <w:highlight w:val="none"/>
              </w:rPr>
              <w:t>年</w:t>
            </w:r>
            <w:r>
              <w:rPr>
                <w:rFonts w:hint="eastAsia"/>
                <w:color w:val="auto"/>
                <w:sz w:val="24"/>
                <w:szCs w:val="24"/>
                <w:highlight w:val="none"/>
                <w:lang w:val="en-US" w:eastAsia="zh-CN"/>
              </w:rPr>
              <w:t>6</w:t>
            </w:r>
            <w:r>
              <w:rPr>
                <w:rFonts w:hint="eastAsia"/>
                <w:color w:val="auto"/>
                <w:sz w:val="24"/>
                <w:szCs w:val="24"/>
                <w:highlight w:val="none"/>
              </w:rPr>
              <w:t>月，</w:t>
            </w:r>
            <w:r>
              <w:rPr>
                <w:rFonts w:hint="eastAsia"/>
                <w:color w:val="auto"/>
                <w:sz w:val="24"/>
              </w:rPr>
              <w:t>水联江西管道装备有限公司年产20万吨螺旋管50万涂塑项目</w:t>
            </w:r>
            <w:r>
              <w:rPr>
                <w:rFonts w:hint="eastAsia"/>
                <w:color w:val="auto"/>
                <w:sz w:val="24"/>
                <w:szCs w:val="24"/>
                <w:highlight w:val="none"/>
              </w:rPr>
              <w:t>获取</w:t>
            </w:r>
            <w:r>
              <w:rPr>
                <w:rFonts w:hint="eastAsia"/>
                <w:color w:val="auto"/>
                <w:sz w:val="24"/>
                <w:szCs w:val="24"/>
                <w:lang w:eastAsia="zh-CN"/>
              </w:rPr>
              <w:t>南昌市南昌生态环境局《关于水联（江西）管道装备有限公司年产20万吨螺旋管50万涂塑项目环境影响报告表的批复》（南环评字〔202</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18</w:t>
            </w:r>
            <w:r>
              <w:rPr>
                <w:rFonts w:hint="eastAsia"/>
                <w:color w:val="auto"/>
                <w:sz w:val="24"/>
                <w:szCs w:val="24"/>
                <w:lang w:eastAsia="zh-CN"/>
              </w:rPr>
              <w:t>号）</w:t>
            </w:r>
            <w:r>
              <w:rPr>
                <w:rFonts w:hint="eastAsia"/>
                <w:color w:val="auto"/>
                <w:sz w:val="24"/>
                <w:szCs w:val="24"/>
                <w:highlight w:val="none"/>
                <w:lang w:eastAsia="zh-CN"/>
              </w:rPr>
              <w:t>；现已取得《</w:t>
            </w:r>
            <w:r>
              <w:rPr>
                <w:rFonts w:hint="eastAsia"/>
                <w:color w:val="auto"/>
                <w:sz w:val="24"/>
              </w:rPr>
              <w:t>水联</w:t>
            </w:r>
            <w:r>
              <w:rPr>
                <w:rFonts w:hint="eastAsia"/>
                <w:color w:val="auto"/>
                <w:sz w:val="24"/>
                <w:lang w:eastAsia="zh-CN"/>
              </w:rPr>
              <w:t>（</w:t>
            </w:r>
            <w:r>
              <w:rPr>
                <w:rFonts w:hint="eastAsia"/>
                <w:color w:val="auto"/>
                <w:sz w:val="24"/>
              </w:rPr>
              <w:t>江西</w:t>
            </w:r>
            <w:r>
              <w:rPr>
                <w:rFonts w:hint="eastAsia"/>
                <w:color w:val="auto"/>
                <w:sz w:val="24"/>
                <w:lang w:eastAsia="zh-CN"/>
              </w:rPr>
              <w:t>）</w:t>
            </w:r>
            <w:r>
              <w:rPr>
                <w:rFonts w:hint="eastAsia"/>
                <w:color w:val="auto"/>
                <w:sz w:val="24"/>
              </w:rPr>
              <w:t>管道装备有限公司</w:t>
            </w:r>
            <w:r>
              <w:rPr>
                <w:rFonts w:hint="eastAsia"/>
                <w:color w:val="auto"/>
                <w:kern w:val="0"/>
                <w:sz w:val="24"/>
                <w:lang w:eastAsia="zh-CN"/>
              </w:rPr>
              <w:t>固定污染源排污登记回执</w:t>
            </w:r>
            <w:r>
              <w:rPr>
                <w:rFonts w:hint="eastAsia" w:ascii="Times New Roman" w:hAnsi="Times New Roman" w:eastAsia="宋体" w:cs="Times New Roman"/>
                <w:color w:val="auto"/>
                <w:sz w:val="24"/>
                <w:szCs w:val="24"/>
                <w:lang w:val="en-US" w:eastAsia="zh-CN"/>
              </w:rPr>
              <w:t>》（登记编号：91360121MAD5Y73N7U001Z</w:t>
            </w:r>
            <w:r>
              <w:rPr>
                <w:rFonts w:hint="eastAsia"/>
                <w:color w:val="auto"/>
                <w:sz w:val="24"/>
                <w:szCs w:val="24"/>
                <w:highlight w:val="none"/>
                <w:lang w:val="en-US" w:eastAsia="zh-CN"/>
              </w:rPr>
              <w:t>），水联江西管道装备有限公司年产20万吨螺旋管50万涂塑项目</w:t>
            </w:r>
            <w:r>
              <w:rPr>
                <w:rFonts w:hint="eastAsia"/>
                <w:color w:val="auto"/>
                <w:sz w:val="24"/>
                <w:szCs w:val="24"/>
                <w:highlight w:val="none"/>
                <w:lang w:eastAsia="zh-CN"/>
              </w:rPr>
              <w:t>（一期）</w:t>
            </w:r>
            <w:r>
              <w:rPr>
                <w:rFonts w:hint="eastAsia"/>
                <w:color w:val="auto"/>
                <w:lang w:eastAsia="zh-CN"/>
              </w:rPr>
              <w:t>不涉及喷漆工序，</w:t>
            </w:r>
            <w:r>
              <w:rPr>
                <w:rFonts w:hint="eastAsia"/>
                <w:color w:val="auto"/>
                <w:sz w:val="24"/>
                <w:szCs w:val="24"/>
                <w:highlight w:val="none"/>
                <w:lang w:eastAsia="zh-CN"/>
              </w:rPr>
              <w:t>主要生产能力为</w:t>
            </w:r>
            <w:r>
              <w:rPr>
                <w:rFonts w:hint="eastAsia" w:ascii="Times New Roman" w:hAnsi="Times New Roman" w:eastAsia="宋体" w:cs="Times New Roman"/>
                <w:color w:val="auto"/>
                <w:szCs w:val="21"/>
                <w:highlight w:val="none"/>
                <w:lang w:eastAsia="zh-CN"/>
              </w:rPr>
              <w:t>年产</w:t>
            </w:r>
            <w:r>
              <w:rPr>
                <w:rFonts w:hint="eastAsia"/>
                <w:color w:val="auto"/>
                <w:szCs w:val="21"/>
                <w:lang w:eastAsia="zh-CN"/>
              </w:rPr>
              <w:t>20万吨螺旋管</w:t>
            </w:r>
            <w:r>
              <w:rPr>
                <w:rFonts w:hint="eastAsia"/>
                <w:color w:val="auto"/>
                <w:szCs w:val="21"/>
                <w:lang w:val="en-US" w:eastAsia="zh-CN"/>
              </w:rPr>
              <w:t>47.6</w:t>
            </w:r>
            <w:r>
              <w:rPr>
                <w:rFonts w:hint="eastAsia"/>
                <w:color w:val="auto"/>
                <w:szCs w:val="21"/>
                <w:lang w:eastAsia="zh-CN"/>
              </w:rPr>
              <w:t>万</w:t>
            </w:r>
            <w:r>
              <w:rPr>
                <w:rFonts w:hint="eastAsia"/>
                <w:color w:val="auto"/>
                <w:szCs w:val="21"/>
                <w:lang w:val="en-US" w:eastAsia="zh-CN"/>
              </w:rPr>
              <w:t>m</w:t>
            </w:r>
            <w:r>
              <w:rPr>
                <w:rFonts w:hint="eastAsia"/>
                <w:color w:val="auto"/>
                <w:szCs w:val="21"/>
                <w:vertAlign w:val="superscript"/>
                <w:lang w:val="en-US" w:eastAsia="zh-CN"/>
              </w:rPr>
              <w:t>2</w:t>
            </w:r>
            <w:r>
              <w:rPr>
                <w:rFonts w:hint="eastAsia"/>
                <w:color w:val="auto"/>
                <w:szCs w:val="21"/>
                <w:lang w:eastAsia="zh-CN"/>
              </w:rPr>
              <w:t>涂塑</w:t>
            </w:r>
            <w:r>
              <w:rPr>
                <w:rFonts w:hint="eastAsia" w:ascii="Times New Roman" w:hAnsi="Times New Roman" w:eastAsia="宋体" w:cs="Times New Roman"/>
                <w:color w:val="auto"/>
                <w:szCs w:val="21"/>
                <w:highlight w:val="none"/>
                <w:lang w:val="en-US" w:eastAsia="zh-CN"/>
              </w:rPr>
              <w:t>。水联江西管道装备有限公司年产20万吨螺旋管50万涂塑项目</w:t>
            </w:r>
            <w:r>
              <w:rPr>
                <w:rFonts w:hint="eastAsia"/>
                <w:color w:val="auto"/>
                <w:sz w:val="24"/>
                <w:szCs w:val="24"/>
                <w:highlight w:val="none"/>
                <w:lang w:eastAsia="zh-CN"/>
              </w:rPr>
              <w:t>（一期）</w:t>
            </w:r>
            <w:r>
              <w:rPr>
                <w:rFonts w:hint="eastAsia"/>
                <w:color w:val="auto"/>
                <w:sz w:val="24"/>
                <w:szCs w:val="24"/>
                <w:highlight w:val="none"/>
              </w:rPr>
              <w:t>已初步具备竣工环保验收监测条件。</w:t>
            </w:r>
          </w:p>
          <w:p w14:paraId="451231DB">
            <w:pPr>
              <w:keepNext w:val="0"/>
              <w:keepLines w:val="0"/>
              <w:pageBreakBefore w:val="0"/>
              <w:widowControl w:val="0"/>
              <w:kinsoku/>
              <w:wordWrap/>
              <w:overflowPunct/>
              <w:topLinePunct w:val="0"/>
              <w:autoSpaceDE/>
              <w:autoSpaceDN/>
              <w:bidi w:val="0"/>
              <w:spacing w:line="360" w:lineRule="auto"/>
              <w:jc w:val="both"/>
              <w:textAlignment w:val="auto"/>
              <w:rPr>
                <w:b/>
                <w:bCs/>
                <w:color w:val="auto"/>
                <w:sz w:val="24"/>
                <w:szCs w:val="24"/>
              </w:rPr>
            </w:pPr>
            <w:r>
              <w:rPr>
                <w:rFonts w:hint="eastAsia"/>
                <w:b/>
                <w:bCs/>
                <w:color w:val="auto"/>
                <w:sz w:val="24"/>
                <w:szCs w:val="24"/>
              </w:rPr>
              <w:t>2.2地理位置及平面布置</w:t>
            </w:r>
          </w:p>
          <w:p w14:paraId="2D7E6BE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rPr>
            </w:pPr>
            <w:r>
              <w:rPr>
                <w:rFonts w:hint="eastAsia"/>
                <w:color w:val="auto"/>
                <w:sz w:val="24"/>
                <w:szCs w:val="24"/>
              </w:rPr>
              <w:t>（1）地理位置</w:t>
            </w:r>
          </w:p>
          <w:p w14:paraId="66AE9B01">
            <w:pPr>
              <w:adjustRightInd w:val="0"/>
              <w:snapToGrid w:val="0"/>
              <w:spacing w:line="360" w:lineRule="auto"/>
              <w:ind w:firstLine="480" w:firstLineChars="200"/>
              <w:rPr>
                <w:rFonts w:hint="default" w:ascii="Times New Roman" w:hAnsi="Times New Roman" w:cs="Times New Roman"/>
                <w:color w:val="auto"/>
                <w:sz w:val="24"/>
                <w:szCs w:val="24"/>
              </w:rPr>
            </w:pPr>
            <w:r>
              <w:rPr>
                <w:rFonts w:hint="eastAsia"/>
                <w:color w:val="auto"/>
                <w:sz w:val="24"/>
                <w:szCs w:val="24"/>
                <w:lang w:val="en-US" w:eastAsia="zh-CN"/>
              </w:rPr>
              <w:t>项目位于</w:t>
            </w:r>
            <w:r>
              <w:rPr>
                <w:rFonts w:hint="default" w:ascii="Times New Roman" w:hAnsi="Times New Roman" w:eastAsia="宋体" w:cs="Times New Roman"/>
                <w:color w:val="auto"/>
                <w:sz w:val="24"/>
                <w:szCs w:val="24"/>
                <w:highlight w:val="none"/>
                <w:lang w:eastAsia="zh-CN"/>
              </w:rPr>
              <w:t>江西省南昌市南昌县八一乡胡华村雪芹路67号</w:t>
            </w:r>
            <w:r>
              <w:rPr>
                <w:rFonts w:hint="eastAsia"/>
                <w:color w:val="auto"/>
                <w:sz w:val="24"/>
              </w:rPr>
              <w:t>，地理位置坐标为</w:t>
            </w:r>
            <w:r>
              <w:rPr>
                <w:rFonts w:hint="eastAsia"/>
                <w:color w:val="auto"/>
                <w:sz w:val="24"/>
                <w:lang w:eastAsia="zh-CN"/>
              </w:rPr>
              <w:t>东经115度59分59.462秒，北纬28度33分8.418秒</w:t>
            </w:r>
            <w:r>
              <w:rPr>
                <w:rFonts w:hint="default" w:ascii="Times New Roman" w:hAnsi="Times New Roman" w:cs="Times New Roman"/>
                <w:color w:val="auto"/>
                <w:sz w:val="24"/>
                <w:szCs w:val="24"/>
              </w:rPr>
              <w:t>。</w:t>
            </w:r>
          </w:p>
          <w:p w14:paraId="01BB0561">
            <w:pPr>
              <w:adjustRightInd w:val="0"/>
              <w:snapToGrid w:val="0"/>
              <w:spacing w:line="360" w:lineRule="auto"/>
              <w:ind w:firstLine="480" w:firstLineChars="200"/>
              <w:rPr>
                <w:color w:val="auto"/>
                <w:sz w:val="24"/>
                <w:szCs w:val="24"/>
              </w:rPr>
            </w:pPr>
            <w:r>
              <w:rPr>
                <w:rFonts w:hint="eastAsia"/>
                <w:color w:val="auto"/>
                <w:sz w:val="24"/>
                <w:szCs w:val="24"/>
              </w:rPr>
              <w:t>（2）厂区平面布置</w:t>
            </w:r>
          </w:p>
          <w:p w14:paraId="50D26C37">
            <w:pPr>
              <w:adjustRightInd w:val="0"/>
              <w:snapToGrid w:val="0"/>
              <w:spacing w:line="360" w:lineRule="auto"/>
              <w:ind w:firstLine="480" w:firstLineChars="200"/>
              <w:rPr>
                <w:rFonts w:hint="eastAsia"/>
                <w:color w:val="auto"/>
                <w:sz w:val="24"/>
              </w:rPr>
            </w:pPr>
            <w:r>
              <w:rPr>
                <w:rFonts w:hint="eastAsia"/>
                <w:color w:val="auto"/>
                <w:sz w:val="24"/>
              </w:rPr>
              <w:t>本项目于武阳创业园已平整的空地上建设</w:t>
            </w:r>
            <w:r>
              <w:rPr>
                <w:rFonts w:hint="eastAsia"/>
                <w:color w:val="auto"/>
                <w:sz w:val="24"/>
                <w:lang w:val="en-US" w:eastAsia="zh-CN"/>
              </w:rPr>
              <w:t>1</w:t>
            </w:r>
            <w:r>
              <w:rPr>
                <w:rFonts w:hint="eastAsia"/>
                <w:color w:val="auto"/>
                <w:sz w:val="24"/>
              </w:rPr>
              <w:t>栋钢结构厂房、1栋办公楼、1个门卫。办公楼布置于厂区东南角，钢结构厂房内根据生产需要划分为不同分区，房内部布置为原材料区、分条区、螺旋管埋弧焊机组区、平头倒棱区、补焊区、水压测试区、X光室、喷漆房、抛丸除锈区、电加热区、喷塑缠绕水冷线区、大管径钢管压弯卷管区、成品区、辅料储存区。</w:t>
            </w:r>
          </w:p>
          <w:p w14:paraId="3CB89BD3">
            <w:pPr>
              <w:adjustRightInd w:val="0"/>
              <w:snapToGrid w:val="0"/>
              <w:spacing w:line="360" w:lineRule="auto"/>
              <w:ind w:firstLine="480" w:firstLineChars="200"/>
              <w:rPr>
                <w:rFonts w:hint="eastAsia"/>
                <w:color w:val="auto"/>
                <w:sz w:val="24"/>
                <w:szCs w:val="24"/>
              </w:rPr>
            </w:pPr>
            <w:r>
              <w:rPr>
                <w:rFonts w:hint="eastAsia"/>
                <w:color w:val="auto"/>
                <w:sz w:val="24"/>
              </w:rPr>
              <w:t>项目在满足消防、安全、卫生要求的前提下，总平面布局功能分明一体生产程顺畅、运输及物流合理、生产管理方便，同时结构紧凑、项目平面布置合理。</w:t>
            </w:r>
          </w:p>
          <w:p w14:paraId="559B7E9F">
            <w:pPr>
              <w:adjustRightInd w:val="0"/>
              <w:snapToGrid w:val="0"/>
              <w:spacing w:line="360" w:lineRule="auto"/>
              <w:ind w:firstLine="480" w:firstLineChars="200"/>
              <w:rPr>
                <w:color w:val="auto"/>
                <w:sz w:val="24"/>
                <w:szCs w:val="24"/>
              </w:rPr>
            </w:pPr>
            <w:r>
              <w:rPr>
                <w:rFonts w:hint="eastAsia"/>
                <w:color w:val="auto"/>
                <w:sz w:val="24"/>
                <w:szCs w:val="24"/>
              </w:rPr>
              <w:t>（3）环境保护目标</w:t>
            </w:r>
          </w:p>
          <w:p w14:paraId="092AF3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color w:val="auto"/>
                <w:sz w:val="24"/>
                <w:highlight w:val="none"/>
              </w:rPr>
              <w:t>根据现场踏勘情况</w:t>
            </w:r>
            <w:r>
              <w:rPr>
                <w:rFonts w:hint="eastAsia"/>
                <w:color w:val="auto"/>
                <w:sz w:val="24"/>
                <w:highlight w:val="none"/>
                <w:lang w:val="en-US" w:eastAsia="zh-CN"/>
              </w:rPr>
              <w:t>，</w:t>
            </w:r>
            <w:r>
              <w:rPr>
                <w:color w:val="auto"/>
                <w:sz w:val="24"/>
                <w:szCs w:val="24"/>
              </w:rPr>
              <w:t>该项目</w:t>
            </w:r>
            <w:r>
              <w:rPr>
                <w:rFonts w:hint="eastAsia"/>
                <w:color w:val="auto"/>
                <w:sz w:val="24"/>
                <w:szCs w:val="24"/>
              </w:rPr>
              <w:t>环境保护</w:t>
            </w:r>
            <w:r>
              <w:rPr>
                <w:color w:val="auto"/>
                <w:sz w:val="24"/>
                <w:szCs w:val="24"/>
              </w:rPr>
              <w:t>目标</w:t>
            </w:r>
            <w:r>
              <w:rPr>
                <w:rFonts w:hint="eastAsia"/>
                <w:color w:val="auto"/>
                <w:sz w:val="24"/>
                <w:szCs w:val="24"/>
              </w:rPr>
              <w:t>如表</w:t>
            </w:r>
            <w:r>
              <w:rPr>
                <w:rFonts w:hint="eastAsia"/>
                <w:color w:val="auto"/>
                <w:sz w:val="24"/>
                <w:szCs w:val="24"/>
                <w:lang w:val="en-US" w:eastAsia="zh-CN"/>
              </w:rPr>
              <w:t>2-1</w:t>
            </w:r>
            <w:r>
              <w:rPr>
                <w:rFonts w:hint="eastAsia"/>
                <w:color w:val="auto"/>
                <w:sz w:val="24"/>
                <w:szCs w:val="24"/>
              </w:rPr>
              <w:t>所示</w:t>
            </w:r>
            <w:r>
              <w:rPr>
                <w:color w:val="auto"/>
                <w:sz w:val="24"/>
                <w:szCs w:val="24"/>
              </w:rPr>
              <w:t>。</w:t>
            </w:r>
          </w:p>
          <w:p w14:paraId="71CF8B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color w:val="auto"/>
                <w:sz w:val="24"/>
              </w:rPr>
            </w:pPr>
            <w:r>
              <w:rPr>
                <w:b/>
                <w:color w:val="auto"/>
                <w:sz w:val="24"/>
              </w:rPr>
              <w:t>表</w:t>
            </w:r>
            <w:r>
              <w:rPr>
                <w:rFonts w:hint="eastAsia"/>
                <w:b/>
                <w:color w:val="auto"/>
                <w:sz w:val="24"/>
                <w:lang w:val="en-US" w:eastAsia="zh-CN"/>
              </w:rPr>
              <w:t>2-1</w:t>
            </w:r>
            <w:r>
              <w:rPr>
                <w:rFonts w:hint="eastAsia"/>
                <w:b/>
                <w:color w:val="auto"/>
                <w:sz w:val="24"/>
              </w:rPr>
              <w:t xml:space="preserve"> </w:t>
            </w:r>
            <w:r>
              <w:rPr>
                <w:b/>
                <w:color w:val="auto"/>
                <w:sz w:val="24"/>
              </w:rPr>
              <w:t xml:space="preserve"> 项目周边敏感点分布一览表</w:t>
            </w:r>
          </w:p>
          <w:tbl>
            <w:tblPr>
              <w:tblStyle w:val="3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73"/>
              <w:gridCol w:w="1094"/>
              <w:gridCol w:w="977"/>
              <w:gridCol w:w="943"/>
              <w:gridCol w:w="1095"/>
              <w:gridCol w:w="1212"/>
              <w:gridCol w:w="1839"/>
            </w:tblGrid>
            <w:tr w14:paraId="0E47C4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364" w:type="pct"/>
                  <w:vMerge w:val="restart"/>
                  <w:tcBorders>
                    <w:tl2br w:val="nil"/>
                    <w:tr2bl w:val="nil"/>
                  </w:tcBorders>
                  <w:vAlign w:val="center"/>
                </w:tcPr>
                <w:p w14:paraId="5E08032F">
                  <w:pPr>
                    <w:snapToGrid w:val="0"/>
                    <w:jc w:val="center"/>
                    <w:rPr>
                      <w:b/>
                      <w:color w:val="auto"/>
                      <w:szCs w:val="21"/>
                    </w:rPr>
                  </w:pPr>
                  <w:r>
                    <w:rPr>
                      <w:b/>
                      <w:color w:val="auto"/>
                      <w:szCs w:val="21"/>
                    </w:rPr>
                    <w:t>环境</w:t>
                  </w:r>
                </w:p>
                <w:p w14:paraId="57D7361A">
                  <w:pPr>
                    <w:snapToGrid w:val="0"/>
                    <w:jc w:val="center"/>
                    <w:rPr>
                      <w:b/>
                      <w:color w:val="auto"/>
                      <w:szCs w:val="21"/>
                    </w:rPr>
                  </w:pPr>
                  <w:r>
                    <w:rPr>
                      <w:b/>
                      <w:color w:val="auto"/>
                      <w:szCs w:val="21"/>
                    </w:rPr>
                    <w:t>类别</w:t>
                  </w:r>
                </w:p>
              </w:tc>
              <w:tc>
                <w:tcPr>
                  <w:tcW w:w="838" w:type="pct"/>
                  <w:vMerge w:val="restart"/>
                  <w:tcBorders>
                    <w:tl2br w:val="nil"/>
                    <w:tr2bl w:val="nil"/>
                  </w:tcBorders>
                  <w:vAlign w:val="center"/>
                </w:tcPr>
                <w:p w14:paraId="67165836">
                  <w:pPr>
                    <w:snapToGrid w:val="0"/>
                    <w:jc w:val="center"/>
                    <w:rPr>
                      <w:b/>
                      <w:color w:val="auto"/>
                      <w:szCs w:val="21"/>
                    </w:rPr>
                  </w:pPr>
                  <w:r>
                    <w:rPr>
                      <w:b/>
                      <w:color w:val="auto"/>
                      <w:szCs w:val="21"/>
                    </w:rPr>
                    <w:t>环境保护</w:t>
                  </w:r>
                  <w:r>
                    <w:rPr>
                      <w:rFonts w:hint="eastAsia"/>
                      <w:b/>
                      <w:color w:val="auto"/>
                      <w:szCs w:val="21"/>
                    </w:rPr>
                    <w:t>目标名称</w:t>
                  </w:r>
                </w:p>
              </w:tc>
              <w:tc>
                <w:tcPr>
                  <w:tcW w:w="1106" w:type="pct"/>
                  <w:gridSpan w:val="2"/>
                  <w:tcBorders>
                    <w:tl2br w:val="nil"/>
                    <w:tr2bl w:val="nil"/>
                  </w:tcBorders>
                  <w:vAlign w:val="center"/>
                </w:tcPr>
                <w:p w14:paraId="66AB1E28">
                  <w:pPr>
                    <w:snapToGrid w:val="0"/>
                    <w:jc w:val="center"/>
                    <w:rPr>
                      <w:b/>
                      <w:color w:val="auto"/>
                      <w:szCs w:val="21"/>
                    </w:rPr>
                  </w:pPr>
                  <w:r>
                    <w:rPr>
                      <w:b/>
                      <w:color w:val="auto"/>
                      <w:szCs w:val="21"/>
                    </w:rPr>
                    <w:t>坐标</w:t>
                  </w:r>
                  <w:r>
                    <w:rPr>
                      <w:rFonts w:hint="eastAsia"/>
                      <w:b/>
                      <w:color w:val="auto"/>
                      <w:szCs w:val="21"/>
                    </w:rPr>
                    <w:t>（以项目中心点为原坐标）</w:t>
                  </w:r>
                </w:p>
              </w:tc>
              <w:tc>
                <w:tcPr>
                  <w:tcW w:w="504" w:type="pct"/>
                  <w:vMerge w:val="restart"/>
                  <w:tcBorders>
                    <w:tl2br w:val="nil"/>
                    <w:tr2bl w:val="nil"/>
                  </w:tcBorders>
                  <w:vAlign w:val="center"/>
                </w:tcPr>
                <w:p w14:paraId="20CEEA7B">
                  <w:pPr>
                    <w:snapToGrid w:val="0"/>
                    <w:jc w:val="center"/>
                    <w:rPr>
                      <w:b/>
                      <w:color w:val="auto"/>
                      <w:szCs w:val="21"/>
                    </w:rPr>
                  </w:pPr>
                  <w:r>
                    <w:rPr>
                      <w:b/>
                      <w:color w:val="auto"/>
                      <w:szCs w:val="21"/>
                    </w:rPr>
                    <w:t>方位</w:t>
                  </w:r>
                </w:p>
              </w:tc>
              <w:tc>
                <w:tcPr>
                  <w:tcW w:w="584" w:type="pct"/>
                  <w:vMerge w:val="restart"/>
                  <w:tcBorders>
                    <w:tl2br w:val="nil"/>
                    <w:tr2bl w:val="nil"/>
                  </w:tcBorders>
                  <w:vAlign w:val="center"/>
                </w:tcPr>
                <w:p w14:paraId="41AABB32">
                  <w:pPr>
                    <w:snapToGrid w:val="0"/>
                    <w:jc w:val="center"/>
                    <w:rPr>
                      <w:b/>
                      <w:color w:val="auto"/>
                      <w:szCs w:val="21"/>
                    </w:rPr>
                  </w:pPr>
                  <w:r>
                    <w:rPr>
                      <w:rFonts w:hint="eastAsia"/>
                      <w:b/>
                      <w:color w:val="auto"/>
                      <w:szCs w:val="21"/>
                    </w:rPr>
                    <w:t>与厂界最近</w:t>
                  </w:r>
                  <w:r>
                    <w:rPr>
                      <w:b/>
                      <w:color w:val="auto"/>
                      <w:szCs w:val="21"/>
                    </w:rPr>
                    <w:t>距离（m）</w:t>
                  </w:r>
                </w:p>
              </w:tc>
              <w:tc>
                <w:tcPr>
                  <w:tcW w:w="646" w:type="pct"/>
                  <w:vMerge w:val="restart"/>
                  <w:tcBorders>
                    <w:tl2br w:val="nil"/>
                    <w:tr2bl w:val="nil"/>
                  </w:tcBorders>
                  <w:vAlign w:val="center"/>
                </w:tcPr>
                <w:p w14:paraId="0CA73C27">
                  <w:pPr>
                    <w:snapToGrid w:val="0"/>
                    <w:jc w:val="center"/>
                    <w:rPr>
                      <w:b/>
                      <w:color w:val="auto"/>
                      <w:szCs w:val="21"/>
                    </w:rPr>
                  </w:pPr>
                  <w:r>
                    <w:rPr>
                      <w:rFonts w:hint="eastAsia"/>
                      <w:b/>
                      <w:color w:val="auto"/>
                      <w:szCs w:val="21"/>
                    </w:rPr>
                    <w:t>与生产车间最近距离</w:t>
                  </w:r>
                  <w:r>
                    <w:rPr>
                      <w:b/>
                      <w:color w:val="auto"/>
                      <w:szCs w:val="21"/>
                    </w:rPr>
                    <w:t>（m）</w:t>
                  </w:r>
                </w:p>
              </w:tc>
              <w:tc>
                <w:tcPr>
                  <w:tcW w:w="955" w:type="pct"/>
                  <w:vMerge w:val="restart"/>
                  <w:tcBorders>
                    <w:tl2br w:val="nil"/>
                    <w:tr2bl w:val="nil"/>
                  </w:tcBorders>
                  <w:vAlign w:val="center"/>
                </w:tcPr>
                <w:p w14:paraId="686E1377">
                  <w:pPr>
                    <w:snapToGrid w:val="0"/>
                    <w:jc w:val="center"/>
                    <w:rPr>
                      <w:b/>
                      <w:color w:val="auto"/>
                      <w:szCs w:val="21"/>
                    </w:rPr>
                  </w:pPr>
                  <w:r>
                    <w:rPr>
                      <w:b/>
                      <w:color w:val="auto"/>
                      <w:szCs w:val="21"/>
                    </w:rPr>
                    <w:t>环境功能</w:t>
                  </w:r>
                </w:p>
              </w:tc>
            </w:tr>
            <w:tr w14:paraId="6A408B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4" w:type="pct"/>
                  <w:vMerge w:val="continue"/>
                  <w:tcBorders>
                    <w:tl2br w:val="nil"/>
                    <w:tr2bl w:val="nil"/>
                  </w:tcBorders>
                  <w:vAlign w:val="center"/>
                </w:tcPr>
                <w:p w14:paraId="40DB855B">
                  <w:pPr>
                    <w:snapToGrid w:val="0"/>
                    <w:jc w:val="center"/>
                    <w:rPr>
                      <w:color w:val="auto"/>
                      <w:szCs w:val="21"/>
                    </w:rPr>
                  </w:pPr>
                </w:p>
              </w:tc>
              <w:tc>
                <w:tcPr>
                  <w:tcW w:w="838" w:type="pct"/>
                  <w:vMerge w:val="continue"/>
                  <w:tcBorders>
                    <w:tl2br w:val="nil"/>
                    <w:tr2bl w:val="nil"/>
                  </w:tcBorders>
                  <w:vAlign w:val="center"/>
                </w:tcPr>
                <w:p w14:paraId="1285A2A2">
                  <w:pPr>
                    <w:snapToGrid w:val="0"/>
                    <w:jc w:val="center"/>
                    <w:rPr>
                      <w:color w:val="auto"/>
                      <w:szCs w:val="21"/>
                    </w:rPr>
                  </w:pPr>
                </w:p>
              </w:tc>
              <w:tc>
                <w:tcPr>
                  <w:tcW w:w="584" w:type="pct"/>
                  <w:tcBorders>
                    <w:tl2br w:val="nil"/>
                    <w:tr2bl w:val="nil"/>
                  </w:tcBorders>
                  <w:vAlign w:val="center"/>
                </w:tcPr>
                <w:p w14:paraId="5D0E4359">
                  <w:pPr>
                    <w:snapToGrid w:val="0"/>
                    <w:jc w:val="center"/>
                    <w:rPr>
                      <w:b/>
                      <w:color w:val="auto"/>
                      <w:szCs w:val="21"/>
                    </w:rPr>
                  </w:pPr>
                  <w:r>
                    <w:rPr>
                      <w:b/>
                      <w:color w:val="auto"/>
                      <w:szCs w:val="21"/>
                    </w:rPr>
                    <w:t>X</w:t>
                  </w:r>
                </w:p>
              </w:tc>
              <w:tc>
                <w:tcPr>
                  <w:tcW w:w="522" w:type="pct"/>
                  <w:tcBorders>
                    <w:tl2br w:val="nil"/>
                    <w:tr2bl w:val="nil"/>
                  </w:tcBorders>
                  <w:vAlign w:val="center"/>
                </w:tcPr>
                <w:p w14:paraId="1A806750">
                  <w:pPr>
                    <w:snapToGrid w:val="0"/>
                    <w:jc w:val="center"/>
                    <w:rPr>
                      <w:b/>
                      <w:color w:val="auto"/>
                      <w:szCs w:val="21"/>
                    </w:rPr>
                  </w:pPr>
                  <w:r>
                    <w:rPr>
                      <w:b/>
                      <w:color w:val="auto"/>
                      <w:szCs w:val="21"/>
                    </w:rPr>
                    <w:t>Y</w:t>
                  </w:r>
                </w:p>
              </w:tc>
              <w:tc>
                <w:tcPr>
                  <w:tcW w:w="504" w:type="pct"/>
                  <w:vMerge w:val="continue"/>
                  <w:tcBorders>
                    <w:tl2br w:val="nil"/>
                    <w:tr2bl w:val="nil"/>
                  </w:tcBorders>
                  <w:vAlign w:val="center"/>
                </w:tcPr>
                <w:p w14:paraId="59A85E86">
                  <w:pPr>
                    <w:snapToGrid w:val="0"/>
                    <w:jc w:val="center"/>
                    <w:rPr>
                      <w:b/>
                      <w:color w:val="auto"/>
                      <w:szCs w:val="21"/>
                    </w:rPr>
                  </w:pPr>
                </w:p>
              </w:tc>
              <w:tc>
                <w:tcPr>
                  <w:tcW w:w="584" w:type="pct"/>
                  <w:vMerge w:val="continue"/>
                  <w:tcBorders>
                    <w:tl2br w:val="nil"/>
                    <w:tr2bl w:val="nil"/>
                  </w:tcBorders>
                  <w:vAlign w:val="center"/>
                </w:tcPr>
                <w:p w14:paraId="56E564B0">
                  <w:pPr>
                    <w:snapToGrid w:val="0"/>
                    <w:jc w:val="center"/>
                    <w:rPr>
                      <w:b/>
                      <w:color w:val="auto"/>
                      <w:szCs w:val="21"/>
                    </w:rPr>
                  </w:pPr>
                </w:p>
              </w:tc>
              <w:tc>
                <w:tcPr>
                  <w:tcW w:w="646" w:type="pct"/>
                  <w:vMerge w:val="continue"/>
                  <w:tcBorders>
                    <w:tl2br w:val="nil"/>
                    <w:tr2bl w:val="nil"/>
                  </w:tcBorders>
                  <w:vAlign w:val="center"/>
                </w:tcPr>
                <w:p w14:paraId="6213D827">
                  <w:pPr>
                    <w:snapToGrid w:val="0"/>
                    <w:jc w:val="center"/>
                    <w:rPr>
                      <w:color w:val="auto"/>
                      <w:szCs w:val="21"/>
                    </w:rPr>
                  </w:pPr>
                </w:p>
              </w:tc>
              <w:tc>
                <w:tcPr>
                  <w:tcW w:w="955" w:type="pct"/>
                  <w:vMerge w:val="continue"/>
                  <w:tcBorders>
                    <w:tl2br w:val="nil"/>
                    <w:tr2bl w:val="nil"/>
                  </w:tcBorders>
                  <w:vAlign w:val="center"/>
                </w:tcPr>
                <w:p w14:paraId="06F39035">
                  <w:pPr>
                    <w:snapToGrid w:val="0"/>
                    <w:jc w:val="center"/>
                    <w:rPr>
                      <w:color w:val="auto"/>
                      <w:szCs w:val="21"/>
                    </w:rPr>
                  </w:pPr>
                </w:p>
              </w:tc>
            </w:tr>
            <w:tr w14:paraId="7CC593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64" w:type="pct"/>
                  <w:vMerge w:val="restart"/>
                  <w:tcBorders>
                    <w:tl2br w:val="nil"/>
                    <w:tr2bl w:val="nil"/>
                  </w:tcBorders>
                  <w:vAlign w:val="center"/>
                </w:tcPr>
                <w:p w14:paraId="3DC1D34D">
                  <w:pPr>
                    <w:snapToGrid w:val="0"/>
                    <w:jc w:val="center"/>
                    <w:rPr>
                      <w:color w:val="auto"/>
                      <w:szCs w:val="21"/>
                    </w:rPr>
                  </w:pPr>
                  <w:r>
                    <w:rPr>
                      <w:color w:val="auto"/>
                      <w:szCs w:val="21"/>
                    </w:rPr>
                    <w:t>大气环境</w:t>
                  </w:r>
                </w:p>
              </w:tc>
              <w:tc>
                <w:tcPr>
                  <w:tcW w:w="838" w:type="pct"/>
                  <w:tcBorders>
                    <w:tl2br w:val="nil"/>
                    <w:tr2bl w:val="nil"/>
                  </w:tcBorders>
                  <w:vAlign w:val="center"/>
                </w:tcPr>
                <w:p w14:paraId="51A5530A">
                  <w:pPr>
                    <w:snapToGrid w:val="0"/>
                    <w:jc w:val="center"/>
                    <w:rPr>
                      <w:rFonts w:hint="eastAsia" w:eastAsia="宋体"/>
                      <w:color w:val="auto"/>
                      <w:szCs w:val="21"/>
                      <w:lang w:eastAsia="zh-CN"/>
                    </w:rPr>
                  </w:pPr>
                  <w:r>
                    <w:rPr>
                      <w:rFonts w:hint="eastAsia"/>
                      <w:color w:val="auto"/>
                      <w:szCs w:val="21"/>
                      <w:lang w:eastAsia="zh-CN"/>
                    </w:rPr>
                    <w:t>胡华村</w:t>
                  </w:r>
                </w:p>
              </w:tc>
              <w:tc>
                <w:tcPr>
                  <w:tcW w:w="584" w:type="pct"/>
                  <w:tcBorders>
                    <w:tl2br w:val="nil"/>
                    <w:tr2bl w:val="nil"/>
                  </w:tcBorders>
                  <w:vAlign w:val="center"/>
                </w:tcPr>
                <w:p w14:paraId="5BD3A291">
                  <w:pPr>
                    <w:snapToGrid w:val="0"/>
                    <w:jc w:val="center"/>
                    <w:rPr>
                      <w:rFonts w:hint="default" w:eastAsia="宋体"/>
                      <w:bCs/>
                      <w:color w:val="auto"/>
                      <w:szCs w:val="21"/>
                      <w:lang w:val="en-US" w:eastAsia="zh-CN"/>
                    </w:rPr>
                  </w:pPr>
                  <w:r>
                    <w:rPr>
                      <w:rFonts w:hint="eastAsia"/>
                      <w:bCs/>
                      <w:color w:val="auto"/>
                      <w:szCs w:val="21"/>
                      <w:lang w:val="en-US" w:eastAsia="zh-CN"/>
                    </w:rPr>
                    <w:t>-124</w:t>
                  </w:r>
                </w:p>
              </w:tc>
              <w:tc>
                <w:tcPr>
                  <w:tcW w:w="522" w:type="pct"/>
                  <w:tcBorders>
                    <w:tl2br w:val="nil"/>
                    <w:tr2bl w:val="nil"/>
                  </w:tcBorders>
                  <w:vAlign w:val="center"/>
                </w:tcPr>
                <w:p w14:paraId="56B27188">
                  <w:pPr>
                    <w:snapToGrid w:val="0"/>
                    <w:jc w:val="center"/>
                    <w:rPr>
                      <w:rFonts w:hint="eastAsia" w:eastAsia="宋体"/>
                      <w:bCs/>
                      <w:color w:val="auto"/>
                      <w:szCs w:val="21"/>
                      <w:lang w:eastAsia="zh-CN"/>
                    </w:rPr>
                  </w:pPr>
                  <w:r>
                    <w:rPr>
                      <w:rFonts w:hint="eastAsia"/>
                      <w:bCs/>
                      <w:color w:val="auto"/>
                      <w:szCs w:val="21"/>
                      <w:lang w:val="en-US" w:eastAsia="zh-CN"/>
                    </w:rPr>
                    <w:t>0</w:t>
                  </w:r>
                </w:p>
              </w:tc>
              <w:tc>
                <w:tcPr>
                  <w:tcW w:w="504" w:type="pct"/>
                  <w:tcBorders>
                    <w:tl2br w:val="nil"/>
                    <w:tr2bl w:val="nil"/>
                  </w:tcBorders>
                  <w:vAlign w:val="center"/>
                </w:tcPr>
                <w:p w14:paraId="4B506BCB">
                  <w:pPr>
                    <w:snapToGrid w:val="0"/>
                    <w:jc w:val="center"/>
                    <w:rPr>
                      <w:rFonts w:hint="eastAsia" w:eastAsia="宋体"/>
                      <w:bCs/>
                      <w:color w:val="auto"/>
                      <w:szCs w:val="21"/>
                      <w:lang w:eastAsia="zh-CN"/>
                    </w:rPr>
                  </w:pPr>
                  <w:r>
                    <w:rPr>
                      <w:rFonts w:hint="eastAsia"/>
                      <w:bCs/>
                      <w:color w:val="auto"/>
                      <w:szCs w:val="21"/>
                      <w:lang w:eastAsia="zh-CN"/>
                    </w:rPr>
                    <w:t>西</w:t>
                  </w:r>
                </w:p>
              </w:tc>
              <w:tc>
                <w:tcPr>
                  <w:tcW w:w="584" w:type="pct"/>
                  <w:tcBorders>
                    <w:tl2br w:val="nil"/>
                    <w:tr2bl w:val="nil"/>
                  </w:tcBorders>
                  <w:vAlign w:val="center"/>
                </w:tcPr>
                <w:p w14:paraId="138D904A">
                  <w:pPr>
                    <w:snapToGrid w:val="0"/>
                    <w:jc w:val="center"/>
                    <w:rPr>
                      <w:rFonts w:hint="default" w:eastAsia="宋体"/>
                      <w:bCs/>
                      <w:color w:val="auto"/>
                      <w:szCs w:val="21"/>
                      <w:lang w:val="en-US" w:eastAsia="zh-CN"/>
                    </w:rPr>
                  </w:pPr>
                  <w:r>
                    <w:rPr>
                      <w:rFonts w:hint="eastAsia"/>
                      <w:bCs/>
                      <w:color w:val="auto"/>
                      <w:szCs w:val="21"/>
                      <w:lang w:val="en-US" w:eastAsia="zh-CN"/>
                    </w:rPr>
                    <w:t>32</w:t>
                  </w:r>
                </w:p>
              </w:tc>
              <w:tc>
                <w:tcPr>
                  <w:tcW w:w="646" w:type="pct"/>
                  <w:tcBorders>
                    <w:tl2br w:val="nil"/>
                    <w:tr2bl w:val="nil"/>
                  </w:tcBorders>
                  <w:vAlign w:val="center"/>
                </w:tcPr>
                <w:p w14:paraId="726BEFF7">
                  <w:pPr>
                    <w:snapToGrid w:val="0"/>
                    <w:jc w:val="center"/>
                    <w:rPr>
                      <w:rFonts w:hint="default" w:eastAsia="宋体"/>
                      <w:bCs/>
                      <w:color w:val="auto"/>
                      <w:szCs w:val="21"/>
                      <w:lang w:val="en-US" w:eastAsia="zh-CN"/>
                    </w:rPr>
                  </w:pPr>
                  <w:r>
                    <w:rPr>
                      <w:rFonts w:hint="eastAsia"/>
                      <w:bCs/>
                      <w:color w:val="auto"/>
                      <w:szCs w:val="21"/>
                      <w:lang w:val="en-US" w:eastAsia="zh-CN"/>
                    </w:rPr>
                    <w:t>52</w:t>
                  </w:r>
                </w:p>
              </w:tc>
              <w:tc>
                <w:tcPr>
                  <w:tcW w:w="955" w:type="pct"/>
                  <w:vMerge w:val="restart"/>
                  <w:tcBorders>
                    <w:tl2br w:val="nil"/>
                    <w:tr2bl w:val="nil"/>
                  </w:tcBorders>
                  <w:vAlign w:val="center"/>
                </w:tcPr>
                <w:p w14:paraId="16744BEB">
                  <w:pPr>
                    <w:snapToGrid w:val="0"/>
                    <w:jc w:val="center"/>
                    <w:rPr>
                      <w:color w:val="auto"/>
                      <w:szCs w:val="21"/>
                    </w:rPr>
                  </w:pPr>
                  <w:r>
                    <w:rPr>
                      <w:color w:val="auto"/>
                    </w:rPr>
                    <w:t>（GB3095-20</w:t>
                  </w:r>
                  <w:r>
                    <w:rPr>
                      <w:rFonts w:hint="eastAsia"/>
                      <w:color w:val="auto"/>
                      <w:lang w:val="en-US" w:eastAsia="zh-CN"/>
                    </w:rPr>
                    <w:t>26</w:t>
                  </w:r>
                  <w:r>
                    <w:rPr>
                      <w:color w:val="auto"/>
                    </w:rPr>
                    <w:t>）二级标准</w:t>
                  </w:r>
                </w:p>
              </w:tc>
            </w:tr>
            <w:tr w14:paraId="2C93A3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364" w:type="pct"/>
                  <w:vMerge w:val="continue"/>
                  <w:tcBorders>
                    <w:tl2br w:val="nil"/>
                    <w:tr2bl w:val="nil"/>
                  </w:tcBorders>
                  <w:vAlign w:val="center"/>
                </w:tcPr>
                <w:p w14:paraId="7DD701C2">
                  <w:pPr>
                    <w:snapToGrid w:val="0"/>
                    <w:jc w:val="center"/>
                    <w:rPr>
                      <w:color w:val="auto"/>
                      <w:szCs w:val="21"/>
                    </w:rPr>
                  </w:pPr>
                </w:p>
              </w:tc>
              <w:tc>
                <w:tcPr>
                  <w:tcW w:w="838" w:type="pct"/>
                  <w:tcBorders>
                    <w:tl2br w:val="nil"/>
                    <w:tr2bl w:val="nil"/>
                  </w:tcBorders>
                  <w:vAlign w:val="center"/>
                </w:tcPr>
                <w:p w14:paraId="2A6C3884">
                  <w:pPr>
                    <w:snapToGrid w:val="0"/>
                    <w:jc w:val="center"/>
                    <w:rPr>
                      <w:rFonts w:hint="eastAsia" w:eastAsia="宋体"/>
                      <w:color w:val="auto"/>
                      <w:szCs w:val="21"/>
                      <w:lang w:eastAsia="zh-CN"/>
                    </w:rPr>
                  </w:pPr>
                  <w:r>
                    <w:rPr>
                      <w:rFonts w:hint="eastAsia"/>
                      <w:color w:val="auto"/>
                      <w:szCs w:val="21"/>
                      <w:lang w:eastAsia="zh-CN"/>
                    </w:rPr>
                    <w:t>南昌县渐山寺</w:t>
                  </w:r>
                </w:p>
              </w:tc>
              <w:tc>
                <w:tcPr>
                  <w:tcW w:w="584" w:type="pct"/>
                  <w:tcBorders>
                    <w:tl2br w:val="nil"/>
                    <w:tr2bl w:val="nil"/>
                  </w:tcBorders>
                  <w:vAlign w:val="center"/>
                </w:tcPr>
                <w:p w14:paraId="7CF36292">
                  <w:pPr>
                    <w:snapToGrid w:val="0"/>
                    <w:jc w:val="center"/>
                    <w:rPr>
                      <w:rFonts w:hint="default" w:eastAsia="宋体"/>
                      <w:bCs/>
                      <w:color w:val="auto"/>
                      <w:szCs w:val="21"/>
                      <w:lang w:val="en-US" w:eastAsia="zh-CN"/>
                    </w:rPr>
                  </w:pPr>
                  <w:r>
                    <w:rPr>
                      <w:rFonts w:hint="eastAsia"/>
                      <w:bCs/>
                      <w:color w:val="auto"/>
                      <w:szCs w:val="21"/>
                      <w:lang w:val="en-US" w:eastAsia="zh-CN"/>
                    </w:rPr>
                    <w:t>564</w:t>
                  </w:r>
                </w:p>
              </w:tc>
              <w:tc>
                <w:tcPr>
                  <w:tcW w:w="522" w:type="pct"/>
                  <w:tcBorders>
                    <w:tl2br w:val="nil"/>
                    <w:tr2bl w:val="nil"/>
                  </w:tcBorders>
                  <w:vAlign w:val="center"/>
                </w:tcPr>
                <w:p w14:paraId="278CE797">
                  <w:pPr>
                    <w:snapToGrid w:val="0"/>
                    <w:jc w:val="center"/>
                    <w:rPr>
                      <w:rFonts w:hint="default" w:eastAsia="宋体"/>
                      <w:bCs/>
                      <w:color w:val="auto"/>
                      <w:szCs w:val="21"/>
                      <w:lang w:val="en-US" w:eastAsia="zh-CN"/>
                    </w:rPr>
                  </w:pPr>
                  <w:r>
                    <w:rPr>
                      <w:rFonts w:hint="eastAsia"/>
                      <w:bCs/>
                      <w:color w:val="auto"/>
                      <w:szCs w:val="21"/>
                      <w:lang w:val="en-US" w:eastAsia="zh-CN"/>
                    </w:rPr>
                    <w:t>101</w:t>
                  </w:r>
                </w:p>
              </w:tc>
              <w:tc>
                <w:tcPr>
                  <w:tcW w:w="504" w:type="pct"/>
                  <w:tcBorders>
                    <w:tl2br w:val="nil"/>
                    <w:tr2bl w:val="nil"/>
                  </w:tcBorders>
                  <w:vAlign w:val="center"/>
                </w:tcPr>
                <w:p w14:paraId="79375666">
                  <w:pPr>
                    <w:snapToGrid w:val="0"/>
                    <w:jc w:val="center"/>
                    <w:rPr>
                      <w:rFonts w:hint="eastAsia" w:eastAsia="宋体"/>
                      <w:bCs/>
                      <w:color w:val="auto"/>
                      <w:szCs w:val="21"/>
                      <w:lang w:eastAsia="zh-CN"/>
                    </w:rPr>
                  </w:pPr>
                  <w:r>
                    <w:rPr>
                      <w:rFonts w:hint="eastAsia"/>
                      <w:bCs/>
                      <w:color w:val="auto"/>
                      <w:szCs w:val="21"/>
                    </w:rPr>
                    <w:t>东</w:t>
                  </w:r>
                  <w:r>
                    <w:rPr>
                      <w:rFonts w:hint="eastAsia"/>
                      <w:bCs/>
                      <w:color w:val="auto"/>
                      <w:szCs w:val="21"/>
                      <w:lang w:eastAsia="zh-CN"/>
                    </w:rPr>
                    <w:t>北</w:t>
                  </w:r>
                </w:p>
              </w:tc>
              <w:tc>
                <w:tcPr>
                  <w:tcW w:w="584" w:type="pct"/>
                  <w:tcBorders>
                    <w:tl2br w:val="nil"/>
                    <w:tr2bl w:val="nil"/>
                  </w:tcBorders>
                  <w:vAlign w:val="center"/>
                </w:tcPr>
                <w:p w14:paraId="0A10BE47">
                  <w:pPr>
                    <w:snapToGrid w:val="0"/>
                    <w:jc w:val="center"/>
                    <w:rPr>
                      <w:rFonts w:hint="default" w:eastAsia="宋体"/>
                      <w:bCs/>
                      <w:color w:val="auto"/>
                      <w:szCs w:val="21"/>
                      <w:lang w:val="en-US" w:eastAsia="zh-CN"/>
                    </w:rPr>
                  </w:pPr>
                  <w:r>
                    <w:rPr>
                      <w:rFonts w:hint="eastAsia"/>
                      <w:bCs/>
                      <w:color w:val="auto"/>
                      <w:szCs w:val="21"/>
                      <w:lang w:val="en-US" w:eastAsia="zh-CN"/>
                    </w:rPr>
                    <w:t>430</w:t>
                  </w:r>
                </w:p>
              </w:tc>
              <w:tc>
                <w:tcPr>
                  <w:tcW w:w="646" w:type="pct"/>
                  <w:tcBorders>
                    <w:tl2br w:val="nil"/>
                    <w:tr2bl w:val="nil"/>
                  </w:tcBorders>
                  <w:vAlign w:val="center"/>
                </w:tcPr>
                <w:p w14:paraId="2C261C90">
                  <w:pPr>
                    <w:snapToGrid w:val="0"/>
                    <w:jc w:val="center"/>
                    <w:rPr>
                      <w:rFonts w:hint="default" w:eastAsia="宋体"/>
                      <w:bCs/>
                      <w:color w:val="auto"/>
                      <w:szCs w:val="21"/>
                      <w:lang w:val="en-US" w:eastAsia="zh-CN"/>
                    </w:rPr>
                  </w:pPr>
                  <w:r>
                    <w:rPr>
                      <w:rFonts w:hint="eastAsia"/>
                      <w:bCs/>
                      <w:color w:val="auto"/>
                      <w:szCs w:val="21"/>
                      <w:lang w:val="en-US" w:eastAsia="zh-CN"/>
                    </w:rPr>
                    <w:t>460</w:t>
                  </w:r>
                </w:p>
              </w:tc>
              <w:tc>
                <w:tcPr>
                  <w:tcW w:w="955" w:type="pct"/>
                  <w:vMerge w:val="continue"/>
                  <w:tcBorders>
                    <w:tl2br w:val="nil"/>
                    <w:tr2bl w:val="nil"/>
                  </w:tcBorders>
                  <w:vAlign w:val="center"/>
                </w:tcPr>
                <w:p w14:paraId="44E247E6">
                  <w:pPr>
                    <w:snapToGrid w:val="0"/>
                    <w:jc w:val="center"/>
                    <w:rPr>
                      <w:color w:val="auto"/>
                    </w:rPr>
                  </w:pPr>
                </w:p>
              </w:tc>
            </w:tr>
          </w:tbl>
          <w:p w14:paraId="10AF52EF">
            <w:pPr>
              <w:keepNext w:val="0"/>
              <w:keepLines w:val="0"/>
              <w:pageBreakBefore w:val="0"/>
              <w:widowControl w:val="0"/>
              <w:kinsoku/>
              <w:wordWrap/>
              <w:overflowPunct/>
              <w:topLinePunct w:val="0"/>
              <w:autoSpaceDE/>
              <w:autoSpaceDN/>
              <w:bidi w:val="0"/>
              <w:spacing w:line="360" w:lineRule="auto"/>
              <w:jc w:val="left"/>
              <w:textAlignment w:val="auto"/>
              <w:rPr>
                <w:b/>
                <w:bCs/>
                <w:color w:val="auto"/>
                <w:sz w:val="24"/>
                <w:szCs w:val="24"/>
              </w:rPr>
            </w:pPr>
            <w:r>
              <w:rPr>
                <w:rFonts w:hint="eastAsia"/>
                <w:b/>
                <w:bCs/>
                <w:color w:val="auto"/>
                <w:sz w:val="24"/>
                <w:szCs w:val="24"/>
              </w:rPr>
              <w:t>2.</w:t>
            </w:r>
            <w:r>
              <w:rPr>
                <w:b/>
                <w:bCs/>
                <w:color w:val="auto"/>
                <w:sz w:val="24"/>
                <w:szCs w:val="24"/>
              </w:rPr>
              <w:t>3建设内容</w:t>
            </w:r>
          </w:p>
          <w:p w14:paraId="3311B9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rFonts w:hint="eastAsia"/>
                <w:color w:val="auto"/>
                <w:sz w:val="24"/>
                <w:szCs w:val="24"/>
              </w:rPr>
              <w:t>（1）产品方案</w:t>
            </w:r>
          </w:p>
          <w:p w14:paraId="26A3A536">
            <w:pPr>
              <w:adjustRightInd w:val="0"/>
              <w:snapToGrid w:val="0"/>
              <w:spacing w:line="360" w:lineRule="auto"/>
              <w:ind w:firstLine="480" w:firstLineChars="200"/>
              <w:rPr>
                <w:color w:val="auto"/>
                <w:sz w:val="24"/>
                <w:szCs w:val="24"/>
              </w:rPr>
            </w:pPr>
            <w:r>
              <w:rPr>
                <w:rFonts w:hint="eastAsia"/>
                <w:color w:val="auto"/>
                <w:sz w:val="24"/>
                <w:szCs w:val="24"/>
              </w:rPr>
              <w:t>本项目主产品详见下表2</w:t>
            </w:r>
            <w:r>
              <w:rPr>
                <w:color w:val="auto"/>
                <w:sz w:val="24"/>
                <w:szCs w:val="24"/>
              </w:rPr>
              <w:t>-2</w:t>
            </w:r>
            <w:r>
              <w:rPr>
                <w:rFonts w:hint="eastAsia"/>
                <w:color w:val="auto"/>
                <w:sz w:val="24"/>
                <w:szCs w:val="24"/>
              </w:rPr>
              <w:t>。</w:t>
            </w:r>
          </w:p>
          <w:p w14:paraId="20F4B1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color w:val="auto"/>
                <w:sz w:val="24"/>
              </w:rPr>
            </w:pPr>
            <w:r>
              <w:rPr>
                <w:rFonts w:ascii="Times New Roman" w:hAnsi="Times New Roman" w:eastAsia="宋体" w:cs="Times New Roman"/>
                <w:b/>
                <w:color w:val="auto"/>
                <w:sz w:val="24"/>
              </w:rPr>
              <w:t>表2-</w:t>
            </w:r>
            <w:r>
              <w:rPr>
                <w:rFonts w:hint="default" w:ascii="Times New Roman" w:hAnsi="Times New Roman" w:eastAsia="宋体" w:cs="Times New Roman"/>
                <w:b/>
                <w:color w:val="auto"/>
                <w:sz w:val="24"/>
              </w:rPr>
              <w:t xml:space="preserve">2 </w:t>
            </w:r>
            <w:r>
              <w:rPr>
                <w:rFonts w:ascii="Times New Roman" w:hAnsi="Times New Roman" w:eastAsia="宋体" w:cs="Times New Roman"/>
                <w:b/>
                <w:color w:val="auto"/>
                <w:sz w:val="24"/>
              </w:rPr>
              <w:t>产品方案一览表</w:t>
            </w:r>
          </w:p>
          <w:tbl>
            <w:tblPr>
              <w:tblStyle w:val="34"/>
              <w:tblW w:w="4995"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60"/>
              <w:gridCol w:w="1501"/>
              <w:gridCol w:w="1182"/>
              <w:gridCol w:w="1285"/>
              <w:gridCol w:w="1193"/>
              <w:gridCol w:w="1195"/>
              <w:gridCol w:w="1193"/>
              <w:gridCol w:w="1195"/>
            </w:tblGrid>
            <w:tr w14:paraId="429B2B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1148" w:type="pct"/>
                  <w:gridSpan w:val="2"/>
                  <w:vMerge w:val="restart"/>
                  <w:noWrap w:val="0"/>
                  <w:tcMar>
                    <w:top w:w="15" w:type="dxa"/>
                    <w:left w:w="15" w:type="dxa"/>
                    <w:right w:w="15" w:type="dxa"/>
                  </w:tcMar>
                  <w:vAlign w:val="center"/>
                </w:tcPr>
                <w:p w14:paraId="337E36F4">
                  <w:pPr>
                    <w:pStyle w:val="127"/>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产品</w:t>
                  </w:r>
                  <w:r>
                    <w:rPr>
                      <w:rFonts w:hint="default" w:ascii="Times New Roman" w:hAnsi="Times New Roman" w:eastAsia="宋体" w:cs="Times New Roman"/>
                      <w:b/>
                      <w:bCs/>
                      <w:color w:val="auto"/>
                      <w:sz w:val="21"/>
                      <w:szCs w:val="21"/>
                      <w:lang w:eastAsia="zh-CN"/>
                    </w:rPr>
                    <w:t>名称</w:t>
                  </w:r>
                </w:p>
              </w:tc>
              <w:tc>
                <w:tcPr>
                  <w:tcW w:w="628" w:type="pct"/>
                  <w:vMerge w:val="restart"/>
                  <w:noWrap w:val="0"/>
                  <w:tcMar>
                    <w:top w:w="15" w:type="dxa"/>
                    <w:left w:w="15" w:type="dxa"/>
                    <w:right w:w="15" w:type="dxa"/>
                  </w:tcMar>
                  <w:vAlign w:val="center"/>
                </w:tcPr>
                <w:p w14:paraId="02DFBDF7">
                  <w:pPr>
                    <w:pStyle w:val="127"/>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设计</w:t>
                  </w:r>
                  <w:r>
                    <w:rPr>
                      <w:rFonts w:hint="eastAsia" w:cs="Times New Roman"/>
                      <w:b/>
                      <w:bCs/>
                      <w:color w:val="auto"/>
                      <w:sz w:val="21"/>
                      <w:szCs w:val="21"/>
                      <w:lang w:eastAsia="zh-CN"/>
                    </w:rPr>
                    <w:t>年</w:t>
                  </w:r>
                  <w:r>
                    <w:rPr>
                      <w:rFonts w:hint="default" w:ascii="Times New Roman" w:hAnsi="Times New Roman" w:eastAsia="宋体" w:cs="Times New Roman"/>
                      <w:b/>
                      <w:bCs/>
                      <w:color w:val="auto"/>
                      <w:sz w:val="21"/>
                      <w:szCs w:val="21"/>
                      <w:lang w:eastAsia="zh-CN"/>
                    </w:rPr>
                    <w:t>生产能力</w:t>
                  </w:r>
                  <w:r>
                    <w:rPr>
                      <w:rFonts w:hint="eastAsia" w:cs="Times New Roman"/>
                      <w:b/>
                      <w:bCs/>
                      <w:color w:val="auto"/>
                      <w:sz w:val="21"/>
                      <w:szCs w:val="21"/>
                      <w:lang w:val="en-US" w:eastAsia="zh-CN"/>
                    </w:rPr>
                    <w:t>/t</w:t>
                  </w:r>
                </w:p>
              </w:tc>
              <w:tc>
                <w:tcPr>
                  <w:tcW w:w="683" w:type="pct"/>
                  <w:vMerge w:val="restart"/>
                  <w:noWrap w:val="0"/>
                  <w:tcMar>
                    <w:top w:w="15" w:type="dxa"/>
                    <w:left w:w="15" w:type="dxa"/>
                    <w:right w:w="15" w:type="dxa"/>
                  </w:tcMar>
                  <w:vAlign w:val="center"/>
                </w:tcPr>
                <w:p w14:paraId="5159B397">
                  <w:pPr>
                    <w:pStyle w:val="127"/>
                    <w:rPr>
                      <w:rFonts w:hint="default" w:ascii="Times New Roman" w:hAnsi="Times New Roman" w:eastAsia="宋体" w:cs="Times New Roman"/>
                      <w:b/>
                      <w:bCs/>
                      <w:color w:val="auto"/>
                      <w:sz w:val="21"/>
                      <w:szCs w:val="21"/>
                      <w:lang w:eastAsia="zh-CN"/>
                    </w:rPr>
                  </w:pPr>
                  <w:r>
                    <w:rPr>
                      <w:rFonts w:hint="eastAsia" w:cs="Times New Roman"/>
                      <w:b/>
                      <w:bCs/>
                      <w:color w:val="auto"/>
                      <w:sz w:val="21"/>
                      <w:szCs w:val="21"/>
                      <w:lang w:eastAsia="zh-CN"/>
                    </w:rPr>
                    <w:t>实际一期年</w:t>
                  </w:r>
                  <w:r>
                    <w:rPr>
                      <w:rFonts w:hint="default" w:ascii="Times New Roman" w:hAnsi="Times New Roman" w:eastAsia="宋体" w:cs="Times New Roman"/>
                      <w:b/>
                      <w:bCs/>
                      <w:color w:val="auto"/>
                      <w:sz w:val="21"/>
                      <w:szCs w:val="21"/>
                      <w:lang w:eastAsia="zh-CN"/>
                    </w:rPr>
                    <w:t>生产能力</w:t>
                  </w:r>
                  <w:r>
                    <w:rPr>
                      <w:rFonts w:hint="eastAsia" w:cs="Times New Roman"/>
                      <w:b/>
                      <w:bCs/>
                      <w:color w:val="auto"/>
                      <w:sz w:val="21"/>
                      <w:szCs w:val="21"/>
                      <w:lang w:val="en-US" w:eastAsia="zh-CN"/>
                    </w:rPr>
                    <w:t>/t</w:t>
                  </w:r>
                </w:p>
              </w:tc>
              <w:tc>
                <w:tcPr>
                  <w:tcW w:w="1269" w:type="pct"/>
                  <w:gridSpan w:val="2"/>
                  <w:noWrap w:val="0"/>
                  <w:tcMar>
                    <w:top w:w="15" w:type="dxa"/>
                    <w:left w:w="15" w:type="dxa"/>
                    <w:right w:w="15" w:type="dxa"/>
                  </w:tcMar>
                  <w:vAlign w:val="center"/>
                </w:tcPr>
                <w:p w14:paraId="239A7F64">
                  <w:pPr>
                    <w:pStyle w:val="127"/>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设计涂塑</w:t>
                  </w:r>
                  <w:r>
                    <w:rPr>
                      <w:rFonts w:hint="eastAsia" w:cs="Times New Roman"/>
                      <w:b/>
                      <w:bCs/>
                      <w:color w:val="auto"/>
                      <w:sz w:val="21"/>
                      <w:szCs w:val="21"/>
                      <w:lang w:val="en-US" w:eastAsia="zh-CN"/>
                    </w:rPr>
                    <w:t>面积/m</w:t>
                  </w:r>
                  <w:r>
                    <w:rPr>
                      <w:rFonts w:hint="eastAsia" w:cs="Times New Roman"/>
                      <w:b/>
                      <w:bCs/>
                      <w:color w:val="auto"/>
                      <w:sz w:val="21"/>
                      <w:szCs w:val="21"/>
                      <w:vertAlign w:val="superscript"/>
                      <w:lang w:val="en-US" w:eastAsia="zh-CN"/>
                    </w:rPr>
                    <w:t>2</w:t>
                  </w:r>
                </w:p>
              </w:tc>
              <w:tc>
                <w:tcPr>
                  <w:tcW w:w="1269" w:type="pct"/>
                  <w:gridSpan w:val="2"/>
                  <w:noWrap w:val="0"/>
                  <w:tcMar>
                    <w:top w:w="15" w:type="dxa"/>
                    <w:left w:w="15" w:type="dxa"/>
                    <w:right w:w="15" w:type="dxa"/>
                  </w:tcMar>
                  <w:vAlign w:val="center"/>
                </w:tcPr>
                <w:p w14:paraId="563CFE72">
                  <w:pPr>
                    <w:pStyle w:val="127"/>
                    <w:rPr>
                      <w:rFonts w:hint="eastAsia" w:cs="Times New Roman"/>
                      <w:b/>
                      <w:bCs/>
                      <w:color w:val="auto"/>
                      <w:sz w:val="21"/>
                      <w:szCs w:val="21"/>
                      <w:lang w:val="en-US" w:eastAsia="zh-CN"/>
                    </w:rPr>
                  </w:pPr>
                  <w:r>
                    <w:rPr>
                      <w:rFonts w:hint="eastAsia" w:cs="Times New Roman"/>
                      <w:b/>
                      <w:bCs/>
                      <w:color w:val="auto"/>
                      <w:sz w:val="21"/>
                      <w:szCs w:val="21"/>
                      <w:lang w:eastAsia="zh-CN"/>
                    </w:rPr>
                    <w:t>一期实际</w:t>
                  </w:r>
                  <w:r>
                    <w:rPr>
                      <w:rFonts w:hint="default" w:ascii="Times New Roman" w:hAnsi="Times New Roman" w:eastAsia="宋体" w:cs="Times New Roman"/>
                      <w:b/>
                      <w:bCs/>
                      <w:color w:val="auto"/>
                      <w:sz w:val="21"/>
                      <w:szCs w:val="21"/>
                      <w:lang w:eastAsia="zh-CN"/>
                    </w:rPr>
                    <w:t>涂塑</w:t>
                  </w:r>
                  <w:r>
                    <w:rPr>
                      <w:rFonts w:hint="eastAsia" w:cs="Times New Roman"/>
                      <w:b/>
                      <w:bCs/>
                      <w:color w:val="auto"/>
                      <w:sz w:val="21"/>
                      <w:szCs w:val="21"/>
                      <w:lang w:val="en-US" w:eastAsia="zh-CN"/>
                    </w:rPr>
                    <w:t>面积/m</w:t>
                  </w:r>
                  <w:r>
                    <w:rPr>
                      <w:rFonts w:hint="eastAsia" w:cs="Times New Roman"/>
                      <w:b/>
                      <w:bCs/>
                      <w:color w:val="auto"/>
                      <w:sz w:val="21"/>
                      <w:szCs w:val="21"/>
                      <w:vertAlign w:val="superscript"/>
                      <w:lang w:val="en-US" w:eastAsia="zh-CN"/>
                    </w:rPr>
                    <w:t>2</w:t>
                  </w:r>
                </w:p>
              </w:tc>
            </w:tr>
            <w:tr w14:paraId="6F79E0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1148" w:type="pct"/>
                  <w:gridSpan w:val="2"/>
                  <w:vMerge w:val="continue"/>
                  <w:noWrap w:val="0"/>
                  <w:tcMar>
                    <w:top w:w="15" w:type="dxa"/>
                    <w:left w:w="15" w:type="dxa"/>
                    <w:right w:w="15" w:type="dxa"/>
                  </w:tcMar>
                  <w:vAlign w:val="center"/>
                </w:tcPr>
                <w:p w14:paraId="53E9FA74">
                  <w:pPr>
                    <w:pStyle w:val="127"/>
                  </w:pPr>
                </w:p>
              </w:tc>
              <w:tc>
                <w:tcPr>
                  <w:tcW w:w="628" w:type="pct"/>
                  <w:vMerge w:val="continue"/>
                  <w:noWrap w:val="0"/>
                  <w:tcMar>
                    <w:top w:w="15" w:type="dxa"/>
                    <w:left w:w="15" w:type="dxa"/>
                    <w:right w:w="15" w:type="dxa"/>
                  </w:tcMar>
                  <w:vAlign w:val="center"/>
                </w:tcPr>
                <w:p w14:paraId="16A73096">
                  <w:pPr>
                    <w:pStyle w:val="127"/>
                  </w:pPr>
                </w:p>
              </w:tc>
              <w:tc>
                <w:tcPr>
                  <w:tcW w:w="683" w:type="pct"/>
                  <w:vMerge w:val="continue"/>
                  <w:noWrap w:val="0"/>
                  <w:tcMar>
                    <w:top w:w="15" w:type="dxa"/>
                    <w:left w:w="15" w:type="dxa"/>
                    <w:right w:w="15" w:type="dxa"/>
                  </w:tcMar>
                  <w:vAlign w:val="center"/>
                </w:tcPr>
                <w:p w14:paraId="702DC353">
                  <w:pPr>
                    <w:pStyle w:val="127"/>
                  </w:pPr>
                </w:p>
              </w:tc>
              <w:tc>
                <w:tcPr>
                  <w:tcW w:w="634" w:type="pct"/>
                  <w:shd w:val="clear" w:color="auto" w:fill="auto"/>
                  <w:noWrap w:val="0"/>
                  <w:tcMar>
                    <w:top w:w="15" w:type="dxa"/>
                    <w:left w:w="15" w:type="dxa"/>
                    <w:right w:w="15" w:type="dxa"/>
                  </w:tcMar>
                  <w:vAlign w:val="center"/>
                </w:tcPr>
                <w:p w14:paraId="3412B23D">
                  <w:pPr>
                    <w:pStyle w:val="127"/>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sz w:val="21"/>
                      <w:szCs w:val="21"/>
                      <w:lang w:eastAsia="zh-CN"/>
                    </w:rPr>
                    <w:t>喷漆</w:t>
                  </w:r>
                  <w:r>
                    <w:rPr>
                      <w:rFonts w:hint="eastAsia" w:cs="Times New Roman"/>
                      <w:b/>
                      <w:bCs/>
                      <w:color w:val="auto"/>
                      <w:sz w:val="21"/>
                      <w:szCs w:val="21"/>
                      <w:lang w:val="en-US" w:eastAsia="zh-CN"/>
                    </w:rPr>
                    <w:t>面积/m</w:t>
                  </w:r>
                  <w:r>
                    <w:rPr>
                      <w:rFonts w:hint="eastAsia" w:cs="Times New Roman"/>
                      <w:b/>
                      <w:bCs/>
                      <w:color w:val="auto"/>
                      <w:sz w:val="21"/>
                      <w:szCs w:val="21"/>
                      <w:vertAlign w:val="superscript"/>
                      <w:lang w:val="en-US" w:eastAsia="zh-CN"/>
                    </w:rPr>
                    <w:t>2</w:t>
                  </w:r>
                </w:p>
              </w:tc>
              <w:tc>
                <w:tcPr>
                  <w:tcW w:w="635" w:type="pct"/>
                  <w:shd w:val="clear" w:color="auto" w:fill="auto"/>
                  <w:noWrap w:val="0"/>
                  <w:tcMar>
                    <w:top w:w="15" w:type="dxa"/>
                    <w:left w:w="15" w:type="dxa"/>
                    <w:right w:w="15" w:type="dxa"/>
                  </w:tcMar>
                  <w:vAlign w:val="center"/>
                </w:tcPr>
                <w:p w14:paraId="12FDB3CA">
                  <w:pPr>
                    <w:pStyle w:val="127"/>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sz w:val="21"/>
                      <w:szCs w:val="21"/>
                      <w:lang w:val="en-US" w:eastAsia="zh-CN"/>
                    </w:rPr>
                    <w:t>喷塑面积/m</w:t>
                  </w:r>
                  <w:r>
                    <w:rPr>
                      <w:rFonts w:hint="eastAsia" w:cs="Times New Roman"/>
                      <w:b/>
                      <w:bCs/>
                      <w:color w:val="auto"/>
                      <w:sz w:val="21"/>
                      <w:szCs w:val="21"/>
                      <w:vertAlign w:val="superscript"/>
                      <w:lang w:val="en-US" w:eastAsia="zh-CN"/>
                    </w:rPr>
                    <w:t>2</w:t>
                  </w:r>
                </w:p>
              </w:tc>
              <w:tc>
                <w:tcPr>
                  <w:tcW w:w="634" w:type="pct"/>
                  <w:shd w:val="clear" w:color="auto" w:fill="auto"/>
                  <w:noWrap w:val="0"/>
                  <w:tcMar>
                    <w:top w:w="15" w:type="dxa"/>
                    <w:left w:w="15" w:type="dxa"/>
                    <w:right w:w="15" w:type="dxa"/>
                  </w:tcMar>
                  <w:vAlign w:val="center"/>
                </w:tcPr>
                <w:p w14:paraId="2DDB15B5">
                  <w:pPr>
                    <w:pStyle w:val="127"/>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sz w:val="21"/>
                      <w:szCs w:val="21"/>
                      <w:lang w:eastAsia="zh-CN"/>
                    </w:rPr>
                    <w:t>喷漆</w:t>
                  </w:r>
                  <w:r>
                    <w:rPr>
                      <w:rFonts w:hint="eastAsia" w:cs="Times New Roman"/>
                      <w:b/>
                      <w:bCs/>
                      <w:color w:val="auto"/>
                      <w:sz w:val="21"/>
                      <w:szCs w:val="21"/>
                      <w:lang w:val="en-US" w:eastAsia="zh-CN"/>
                    </w:rPr>
                    <w:t>面积/m</w:t>
                  </w:r>
                  <w:r>
                    <w:rPr>
                      <w:rFonts w:hint="eastAsia" w:cs="Times New Roman"/>
                      <w:b/>
                      <w:bCs/>
                      <w:color w:val="auto"/>
                      <w:sz w:val="21"/>
                      <w:szCs w:val="21"/>
                      <w:vertAlign w:val="superscript"/>
                      <w:lang w:val="en-US" w:eastAsia="zh-CN"/>
                    </w:rPr>
                    <w:t>2</w:t>
                  </w:r>
                </w:p>
              </w:tc>
              <w:tc>
                <w:tcPr>
                  <w:tcW w:w="635" w:type="pct"/>
                  <w:shd w:val="clear" w:color="auto" w:fill="auto"/>
                  <w:noWrap w:val="0"/>
                  <w:tcMar>
                    <w:top w:w="15" w:type="dxa"/>
                    <w:left w:w="15" w:type="dxa"/>
                    <w:right w:w="15" w:type="dxa"/>
                  </w:tcMar>
                  <w:vAlign w:val="center"/>
                </w:tcPr>
                <w:p w14:paraId="6F5A91AD">
                  <w:pPr>
                    <w:pStyle w:val="127"/>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sz w:val="21"/>
                      <w:szCs w:val="21"/>
                      <w:lang w:val="en-US" w:eastAsia="zh-CN"/>
                    </w:rPr>
                    <w:t>喷塑面积/m</w:t>
                  </w:r>
                  <w:r>
                    <w:rPr>
                      <w:rFonts w:hint="eastAsia" w:cs="Times New Roman"/>
                      <w:b/>
                      <w:bCs/>
                      <w:color w:val="auto"/>
                      <w:sz w:val="21"/>
                      <w:szCs w:val="21"/>
                      <w:vertAlign w:val="superscript"/>
                      <w:lang w:val="en-US" w:eastAsia="zh-CN"/>
                    </w:rPr>
                    <w:t>2</w:t>
                  </w:r>
                </w:p>
              </w:tc>
            </w:tr>
            <w:tr w14:paraId="7FEB31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50" w:type="pct"/>
                  <w:vMerge w:val="restart"/>
                  <w:noWrap/>
                  <w:tcMar>
                    <w:top w:w="15" w:type="dxa"/>
                    <w:left w:w="15" w:type="dxa"/>
                    <w:right w:w="15" w:type="dxa"/>
                  </w:tcMar>
                  <w:vAlign w:val="center"/>
                </w:tcPr>
                <w:p w14:paraId="274AE0C2">
                  <w:pPr>
                    <w:pStyle w:val="121"/>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螺旋管</w:t>
                  </w:r>
                </w:p>
              </w:tc>
              <w:tc>
                <w:tcPr>
                  <w:tcW w:w="798" w:type="pct"/>
                  <w:noWrap/>
                  <w:tcMar>
                    <w:top w:w="15" w:type="dxa"/>
                    <w:left w:w="15" w:type="dxa"/>
                    <w:right w:w="15" w:type="dxa"/>
                  </w:tcMar>
                  <w:vAlign w:val="center"/>
                </w:tcPr>
                <w:p w14:paraId="13D98E47">
                  <w:pPr>
                    <w:spacing w:line="320" w:lineRule="exact"/>
                    <w:jc w:val="center"/>
                    <w:textAlignment w:val="baseline"/>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螺旋管</w:t>
                  </w:r>
                </w:p>
              </w:tc>
              <w:tc>
                <w:tcPr>
                  <w:tcW w:w="628" w:type="pct"/>
                  <w:noWrap w:val="0"/>
                  <w:tcMar>
                    <w:top w:w="15" w:type="dxa"/>
                    <w:left w:w="15" w:type="dxa"/>
                    <w:right w:w="15" w:type="dxa"/>
                  </w:tcMar>
                  <w:vAlign w:val="center"/>
                </w:tcPr>
                <w:p w14:paraId="142E2B64">
                  <w:pPr>
                    <w:spacing w:line="320" w:lineRule="exact"/>
                    <w:jc w:val="center"/>
                    <w:textAlignment w:val="baseline"/>
                    <w:rPr>
                      <w:rFonts w:hint="default" w:ascii="Times New Roman" w:hAnsi="Times New Roman" w:eastAsia="宋体" w:cs="Times New Roman"/>
                      <w:color w:val="auto"/>
                      <w:kern w:val="2"/>
                      <w:sz w:val="21"/>
                      <w:highlight w:val="none"/>
                      <w:lang w:val="en-US" w:eastAsia="zh-CN" w:bidi="ar-SA"/>
                    </w:rPr>
                  </w:pPr>
                  <w:r>
                    <w:rPr>
                      <w:rFonts w:hint="eastAsia"/>
                      <w:color w:val="auto"/>
                      <w:szCs w:val="21"/>
                      <w:lang w:val="en-US" w:eastAsia="zh-CN"/>
                    </w:rPr>
                    <w:t>89404</w:t>
                  </w:r>
                </w:p>
              </w:tc>
              <w:tc>
                <w:tcPr>
                  <w:tcW w:w="683" w:type="pct"/>
                  <w:noWrap/>
                  <w:tcMar>
                    <w:top w:w="15" w:type="dxa"/>
                    <w:left w:w="15" w:type="dxa"/>
                    <w:right w:w="15" w:type="dxa"/>
                  </w:tcMar>
                  <w:vAlign w:val="center"/>
                </w:tcPr>
                <w:p w14:paraId="351E34BE">
                  <w:pPr>
                    <w:spacing w:line="320" w:lineRule="exact"/>
                    <w:jc w:val="center"/>
                    <w:textAlignment w:val="baseline"/>
                    <w:rPr>
                      <w:rFonts w:hint="default"/>
                      <w:color w:val="auto"/>
                      <w:szCs w:val="21"/>
                      <w:lang w:val="en-US" w:eastAsia="zh-CN"/>
                    </w:rPr>
                  </w:pPr>
                  <w:r>
                    <w:rPr>
                      <w:rFonts w:hint="eastAsia"/>
                      <w:color w:val="auto"/>
                      <w:szCs w:val="21"/>
                      <w:lang w:val="en-US" w:eastAsia="zh-CN"/>
                    </w:rPr>
                    <w:t>89474</w:t>
                  </w:r>
                </w:p>
              </w:tc>
              <w:tc>
                <w:tcPr>
                  <w:tcW w:w="634" w:type="pct"/>
                  <w:noWrap/>
                  <w:tcMar>
                    <w:top w:w="15" w:type="dxa"/>
                    <w:left w:w="15" w:type="dxa"/>
                    <w:right w:w="15" w:type="dxa"/>
                  </w:tcMar>
                  <w:vAlign w:val="center"/>
                </w:tcPr>
                <w:p w14:paraId="5CC67BCB">
                  <w:pPr>
                    <w:spacing w:line="320" w:lineRule="exact"/>
                    <w:jc w:val="center"/>
                    <w:textAlignment w:val="baseline"/>
                    <w:rPr>
                      <w:rFonts w:hint="eastAsia" w:cs="Times New Roman"/>
                      <w:color w:val="auto"/>
                      <w:sz w:val="21"/>
                      <w:szCs w:val="21"/>
                      <w:lang w:val="en-US" w:eastAsia="zh-CN"/>
                    </w:rPr>
                  </w:pPr>
                  <w:r>
                    <w:rPr>
                      <w:rFonts w:hint="eastAsia"/>
                      <w:color w:val="auto"/>
                      <w:szCs w:val="21"/>
                      <w:lang w:val="en-US" w:eastAsia="zh-CN"/>
                    </w:rPr>
                    <w:t>/</w:t>
                  </w:r>
                </w:p>
              </w:tc>
              <w:tc>
                <w:tcPr>
                  <w:tcW w:w="635" w:type="pct"/>
                  <w:noWrap/>
                  <w:tcMar>
                    <w:top w:w="15" w:type="dxa"/>
                    <w:left w:w="15" w:type="dxa"/>
                    <w:right w:w="15" w:type="dxa"/>
                  </w:tcMar>
                  <w:vAlign w:val="center"/>
                </w:tcPr>
                <w:p w14:paraId="0AA3B960">
                  <w:pPr>
                    <w:spacing w:line="320" w:lineRule="exact"/>
                    <w:jc w:val="center"/>
                    <w:textAlignment w:val="baseline"/>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634" w:type="pct"/>
                  <w:noWrap/>
                  <w:tcMar>
                    <w:top w:w="15" w:type="dxa"/>
                    <w:left w:w="15" w:type="dxa"/>
                    <w:right w:w="15" w:type="dxa"/>
                  </w:tcMar>
                  <w:vAlign w:val="center"/>
                </w:tcPr>
                <w:p w14:paraId="6CD1D020">
                  <w:pPr>
                    <w:spacing w:line="320" w:lineRule="exact"/>
                    <w:jc w:val="center"/>
                    <w:textAlignment w:val="baseline"/>
                    <w:rPr>
                      <w:rFonts w:hint="eastAsia" w:cs="Times New Roman"/>
                      <w:color w:val="auto"/>
                      <w:sz w:val="21"/>
                      <w:szCs w:val="21"/>
                      <w:lang w:val="en-US" w:eastAsia="zh-CN"/>
                    </w:rPr>
                  </w:pPr>
                  <w:r>
                    <w:rPr>
                      <w:rFonts w:hint="eastAsia"/>
                      <w:color w:val="auto"/>
                      <w:szCs w:val="21"/>
                      <w:lang w:val="en-US" w:eastAsia="zh-CN"/>
                    </w:rPr>
                    <w:t>/</w:t>
                  </w:r>
                </w:p>
              </w:tc>
              <w:tc>
                <w:tcPr>
                  <w:tcW w:w="635" w:type="pct"/>
                  <w:noWrap/>
                  <w:tcMar>
                    <w:top w:w="15" w:type="dxa"/>
                    <w:left w:w="15" w:type="dxa"/>
                    <w:right w:w="15" w:type="dxa"/>
                  </w:tcMar>
                  <w:vAlign w:val="center"/>
                </w:tcPr>
                <w:p w14:paraId="0A959775">
                  <w:pPr>
                    <w:spacing w:line="320" w:lineRule="exact"/>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w:t>
                  </w:r>
                </w:p>
              </w:tc>
            </w:tr>
            <w:tr w14:paraId="5206E0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50" w:type="pct"/>
                  <w:vMerge w:val="continue"/>
                  <w:noWrap/>
                  <w:tcMar>
                    <w:top w:w="15" w:type="dxa"/>
                    <w:left w:w="15" w:type="dxa"/>
                    <w:right w:w="15" w:type="dxa"/>
                  </w:tcMar>
                  <w:vAlign w:val="center"/>
                </w:tcPr>
                <w:p w14:paraId="7235A3A7">
                  <w:pPr>
                    <w:pStyle w:val="121"/>
                    <w:rPr>
                      <w:rFonts w:hint="eastAsia" w:cs="Times New Roman"/>
                      <w:color w:val="auto"/>
                      <w:sz w:val="21"/>
                      <w:szCs w:val="21"/>
                      <w:lang w:val="en-US" w:eastAsia="zh-CN"/>
                    </w:rPr>
                  </w:pPr>
                </w:p>
              </w:tc>
              <w:tc>
                <w:tcPr>
                  <w:tcW w:w="798" w:type="pct"/>
                  <w:noWrap/>
                  <w:tcMar>
                    <w:top w:w="15" w:type="dxa"/>
                    <w:left w:w="15" w:type="dxa"/>
                    <w:right w:w="15" w:type="dxa"/>
                  </w:tcMar>
                  <w:vAlign w:val="center"/>
                </w:tcPr>
                <w:p w14:paraId="3176B3C5">
                  <w:pPr>
                    <w:spacing w:line="320" w:lineRule="exact"/>
                    <w:jc w:val="center"/>
                    <w:textAlignment w:val="baseline"/>
                    <w:rPr>
                      <w:rFonts w:hint="eastAsia" w:cs="Times New Roman"/>
                      <w:color w:val="auto"/>
                      <w:sz w:val="21"/>
                      <w:szCs w:val="21"/>
                      <w:lang w:eastAsia="zh-CN"/>
                    </w:rPr>
                  </w:pPr>
                  <w:r>
                    <w:rPr>
                      <w:rFonts w:hint="eastAsia" w:cs="Times New Roman"/>
                      <w:color w:val="auto"/>
                      <w:sz w:val="21"/>
                      <w:szCs w:val="21"/>
                      <w:lang w:eastAsia="zh-CN"/>
                    </w:rPr>
                    <w:t>喷漆</w:t>
                  </w:r>
                  <w:r>
                    <w:rPr>
                      <w:rFonts w:hint="eastAsia"/>
                      <w:color w:val="auto"/>
                      <w:szCs w:val="21"/>
                      <w:lang w:eastAsia="zh-CN"/>
                    </w:rPr>
                    <w:t>防腐螺旋管</w:t>
                  </w:r>
                </w:p>
              </w:tc>
              <w:tc>
                <w:tcPr>
                  <w:tcW w:w="628" w:type="pct"/>
                  <w:noWrap w:val="0"/>
                  <w:tcMar>
                    <w:top w:w="15" w:type="dxa"/>
                    <w:left w:w="15" w:type="dxa"/>
                    <w:right w:w="15" w:type="dxa"/>
                  </w:tcMar>
                  <w:vAlign w:val="center"/>
                </w:tcPr>
                <w:p w14:paraId="6230A12F">
                  <w:pPr>
                    <w:spacing w:line="320" w:lineRule="exact"/>
                    <w:jc w:val="center"/>
                    <w:textAlignment w:val="baseline"/>
                    <w:rPr>
                      <w:rFonts w:hint="default"/>
                      <w:color w:val="auto"/>
                      <w:szCs w:val="21"/>
                      <w:lang w:val="en-US" w:eastAsia="zh-CN"/>
                    </w:rPr>
                  </w:pPr>
                  <w:r>
                    <w:rPr>
                      <w:rFonts w:hint="eastAsia"/>
                      <w:color w:val="auto"/>
                      <w:szCs w:val="21"/>
                      <w:lang w:val="en-US" w:eastAsia="zh-CN"/>
                    </w:rPr>
                    <w:t>70</w:t>
                  </w:r>
                </w:p>
              </w:tc>
              <w:tc>
                <w:tcPr>
                  <w:tcW w:w="683" w:type="pct"/>
                  <w:noWrap/>
                  <w:tcMar>
                    <w:top w:w="15" w:type="dxa"/>
                    <w:left w:w="15" w:type="dxa"/>
                    <w:right w:w="15" w:type="dxa"/>
                  </w:tcMar>
                  <w:vAlign w:val="center"/>
                </w:tcPr>
                <w:p w14:paraId="4364BF03">
                  <w:pPr>
                    <w:spacing w:line="320" w:lineRule="exact"/>
                    <w:jc w:val="center"/>
                    <w:textAlignment w:val="baseline"/>
                    <w:rPr>
                      <w:rFonts w:hint="eastAsia"/>
                      <w:color w:val="auto"/>
                      <w:szCs w:val="21"/>
                      <w:lang w:val="en-US" w:eastAsia="zh-CN"/>
                    </w:rPr>
                  </w:pPr>
                  <w:r>
                    <w:rPr>
                      <w:rFonts w:hint="eastAsia"/>
                      <w:color w:val="auto"/>
                      <w:szCs w:val="21"/>
                      <w:lang w:val="en-US" w:eastAsia="zh-CN"/>
                    </w:rPr>
                    <w:t>0</w:t>
                  </w:r>
                </w:p>
              </w:tc>
              <w:tc>
                <w:tcPr>
                  <w:tcW w:w="634" w:type="pct"/>
                  <w:noWrap/>
                  <w:tcMar>
                    <w:top w:w="15" w:type="dxa"/>
                    <w:left w:w="15" w:type="dxa"/>
                    <w:right w:w="15" w:type="dxa"/>
                  </w:tcMar>
                  <w:vAlign w:val="center"/>
                </w:tcPr>
                <w:p w14:paraId="65044927">
                  <w:pPr>
                    <w:spacing w:line="320" w:lineRule="exact"/>
                    <w:jc w:val="center"/>
                    <w:textAlignment w:val="baseline"/>
                    <w:rPr>
                      <w:rFonts w:hint="eastAsia"/>
                      <w:color w:val="auto"/>
                      <w:szCs w:val="21"/>
                      <w:lang w:val="en-US" w:eastAsia="zh-CN"/>
                    </w:rPr>
                  </w:pPr>
                  <w:r>
                    <w:rPr>
                      <w:rFonts w:hint="eastAsia"/>
                      <w:color w:val="auto"/>
                      <w:szCs w:val="21"/>
                      <w:lang w:val="en-US" w:eastAsia="zh-CN"/>
                    </w:rPr>
                    <w:t>24077.5</w:t>
                  </w:r>
                </w:p>
              </w:tc>
              <w:tc>
                <w:tcPr>
                  <w:tcW w:w="635" w:type="pct"/>
                  <w:noWrap/>
                  <w:tcMar>
                    <w:top w:w="15" w:type="dxa"/>
                    <w:left w:w="15" w:type="dxa"/>
                    <w:right w:w="15" w:type="dxa"/>
                  </w:tcMar>
                  <w:vAlign w:val="center"/>
                </w:tcPr>
                <w:p w14:paraId="762E1CBB">
                  <w:pPr>
                    <w:spacing w:line="320" w:lineRule="exact"/>
                    <w:jc w:val="center"/>
                    <w:textAlignment w:val="baseline"/>
                    <w:rPr>
                      <w:rFonts w:hint="default"/>
                      <w:color w:val="auto"/>
                      <w:szCs w:val="21"/>
                      <w:lang w:val="en-US" w:eastAsia="zh-CN"/>
                    </w:rPr>
                  </w:pPr>
                  <w:r>
                    <w:rPr>
                      <w:rFonts w:hint="eastAsia"/>
                      <w:color w:val="auto"/>
                      <w:szCs w:val="21"/>
                      <w:lang w:val="en-US" w:eastAsia="zh-CN"/>
                    </w:rPr>
                    <w:t>/</w:t>
                  </w:r>
                </w:p>
              </w:tc>
              <w:tc>
                <w:tcPr>
                  <w:tcW w:w="634" w:type="pct"/>
                  <w:noWrap/>
                  <w:tcMar>
                    <w:top w:w="15" w:type="dxa"/>
                    <w:left w:w="15" w:type="dxa"/>
                    <w:right w:w="15" w:type="dxa"/>
                  </w:tcMar>
                  <w:vAlign w:val="center"/>
                </w:tcPr>
                <w:p w14:paraId="73A6976D">
                  <w:pPr>
                    <w:spacing w:line="320" w:lineRule="exact"/>
                    <w:jc w:val="center"/>
                    <w:textAlignment w:val="baseline"/>
                    <w:rPr>
                      <w:rFonts w:hint="eastAsia"/>
                      <w:color w:val="auto"/>
                      <w:szCs w:val="21"/>
                      <w:lang w:val="en-US" w:eastAsia="zh-CN"/>
                    </w:rPr>
                  </w:pPr>
                  <w:r>
                    <w:rPr>
                      <w:rFonts w:hint="eastAsia"/>
                      <w:color w:val="auto"/>
                      <w:szCs w:val="21"/>
                      <w:lang w:val="en-US" w:eastAsia="zh-CN"/>
                    </w:rPr>
                    <w:t>0</w:t>
                  </w:r>
                </w:p>
              </w:tc>
              <w:tc>
                <w:tcPr>
                  <w:tcW w:w="635" w:type="pct"/>
                  <w:noWrap/>
                  <w:tcMar>
                    <w:top w:w="15" w:type="dxa"/>
                    <w:left w:w="15" w:type="dxa"/>
                    <w:right w:w="15" w:type="dxa"/>
                  </w:tcMar>
                  <w:vAlign w:val="center"/>
                </w:tcPr>
                <w:p w14:paraId="7517E557">
                  <w:pPr>
                    <w:spacing w:line="320" w:lineRule="exact"/>
                    <w:jc w:val="center"/>
                    <w:textAlignment w:val="baseline"/>
                    <w:rPr>
                      <w:rFonts w:hint="eastAsia"/>
                      <w:color w:val="auto"/>
                      <w:szCs w:val="21"/>
                      <w:lang w:val="en-US" w:eastAsia="zh-CN"/>
                    </w:rPr>
                  </w:pPr>
                  <w:r>
                    <w:rPr>
                      <w:rFonts w:hint="eastAsia"/>
                      <w:color w:val="auto"/>
                      <w:szCs w:val="21"/>
                      <w:lang w:val="en-US" w:eastAsia="zh-CN"/>
                    </w:rPr>
                    <w:t>0</w:t>
                  </w:r>
                </w:p>
              </w:tc>
            </w:tr>
            <w:tr w14:paraId="147232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50" w:type="pct"/>
                  <w:vMerge w:val="continue"/>
                  <w:noWrap/>
                  <w:tcMar>
                    <w:top w:w="15" w:type="dxa"/>
                    <w:left w:w="15" w:type="dxa"/>
                    <w:right w:w="15" w:type="dxa"/>
                  </w:tcMar>
                  <w:vAlign w:val="center"/>
                </w:tcPr>
                <w:p w14:paraId="3802FB69">
                  <w:pPr>
                    <w:pStyle w:val="121"/>
                    <w:rPr>
                      <w:rFonts w:hint="default" w:ascii="Times New Roman" w:hAnsi="Times New Roman" w:eastAsia="宋体" w:cs="Times New Roman"/>
                      <w:color w:val="auto"/>
                      <w:sz w:val="21"/>
                      <w:szCs w:val="21"/>
                      <w:lang w:val="en-US" w:eastAsia="zh-CN"/>
                    </w:rPr>
                  </w:pPr>
                </w:p>
              </w:tc>
              <w:tc>
                <w:tcPr>
                  <w:tcW w:w="798" w:type="pct"/>
                  <w:noWrap/>
                  <w:tcMar>
                    <w:top w:w="15" w:type="dxa"/>
                    <w:left w:w="15" w:type="dxa"/>
                    <w:right w:w="15" w:type="dxa"/>
                  </w:tcMar>
                  <w:vAlign w:val="center"/>
                </w:tcPr>
                <w:p w14:paraId="6C80E5B5">
                  <w:pPr>
                    <w:spacing w:line="320" w:lineRule="exact"/>
                    <w:jc w:val="center"/>
                    <w:textAlignment w:val="baseline"/>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喷塑</w:t>
                  </w:r>
                  <w:r>
                    <w:rPr>
                      <w:rFonts w:hint="eastAsia"/>
                      <w:color w:val="auto"/>
                      <w:szCs w:val="21"/>
                      <w:lang w:eastAsia="zh-CN"/>
                    </w:rPr>
                    <w:t>防腐螺旋管</w:t>
                  </w:r>
                </w:p>
              </w:tc>
              <w:tc>
                <w:tcPr>
                  <w:tcW w:w="628" w:type="pct"/>
                  <w:noWrap w:val="0"/>
                  <w:tcMar>
                    <w:top w:w="15" w:type="dxa"/>
                    <w:left w:w="15" w:type="dxa"/>
                    <w:right w:w="15" w:type="dxa"/>
                  </w:tcMar>
                  <w:vAlign w:val="center"/>
                </w:tcPr>
                <w:p w14:paraId="4A6C442F">
                  <w:pPr>
                    <w:spacing w:line="320" w:lineRule="exact"/>
                    <w:jc w:val="center"/>
                    <w:textAlignment w:val="baseline"/>
                    <w:rPr>
                      <w:rFonts w:hint="default" w:ascii="Times New Roman" w:hAnsi="Times New Roman" w:eastAsia="宋体" w:cs="Times New Roman"/>
                      <w:color w:val="auto"/>
                      <w:sz w:val="21"/>
                      <w:szCs w:val="21"/>
                    </w:rPr>
                  </w:pPr>
                  <w:r>
                    <w:rPr>
                      <w:rFonts w:hint="eastAsia"/>
                      <w:color w:val="auto"/>
                      <w:szCs w:val="21"/>
                      <w:lang w:val="en-US" w:eastAsia="zh-CN"/>
                    </w:rPr>
                    <w:t>84</w:t>
                  </w:r>
                </w:p>
              </w:tc>
              <w:tc>
                <w:tcPr>
                  <w:tcW w:w="683" w:type="pct"/>
                  <w:noWrap/>
                  <w:tcMar>
                    <w:top w:w="15" w:type="dxa"/>
                    <w:left w:w="15" w:type="dxa"/>
                    <w:right w:w="15" w:type="dxa"/>
                  </w:tcMar>
                  <w:vAlign w:val="center"/>
                </w:tcPr>
                <w:p w14:paraId="20F4A945">
                  <w:pPr>
                    <w:spacing w:line="320" w:lineRule="exact"/>
                    <w:jc w:val="center"/>
                    <w:textAlignment w:val="baseline"/>
                    <w:rPr>
                      <w:rFonts w:hint="eastAsia"/>
                      <w:color w:val="auto"/>
                      <w:szCs w:val="21"/>
                      <w:lang w:val="en-US" w:eastAsia="zh-CN"/>
                    </w:rPr>
                  </w:pPr>
                  <w:r>
                    <w:rPr>
                      <w:rFonts w:hint="eastAsia"/>
                      <w:color w:val="auto"/>
                      <w:szCs w:val="21"/>
                      <w:lang w:val="en-US" w:eastAsia="zh-CN"/>
                    </w:rPr>
                    <w:t>84</w:t>
                  </w:r>
                </w:p>
              </w:tc>
              <w:tc>
                <w:tcPr>
                  <w:tcW w:w="634" w:type="pct"/>
                  <w:noWrap/>
                  <w:tcMar>
                    <w:top w:w="15" w:type="dxa"/>
                    <w:left w:w="15" w:type="dxa"/>
                    <w:right w:w="15" w:type="dxa"/>
                  </w:tcMar>
                  <w:vAlign w:val="center"/>
                </w:tcPr>
                <w:p w14:paraId="2B378A34">
                  <w:pPr>
                    <w:spacing w:line="320" w:lineRule="exact"/>
                    <w:jc w:val="center"/>
                    <w:textAlignment w:val="baseline"/>
                    <w:rPr>
                      <w:rFonts w:hint="eastAsia" w:cs="Times New Roman"/>
                      <w:color w:val="auto"/>
                      <w:sz w:val="21"/>
                      <w:szCs w:val="21"/>
                      <w:lang w:val="en-US" w:eastAsia="zh-CN"/>
                    </w:rPr>
                  </w:pPr>
                  <w:r>
                    <w:rPr>
                      <w:rFonts w:hint="eastAsia"/>
                      <w:color w:val="auto"/>
                      <w:szCs w:val="21"/>
                      <w:lang w:val="en-US" w:eastAsia="zh-CN"/>
                    </w:rPr>
                    <w:t>/</w:t>
                  </w:r>
                </w:p>
              </w:tc>
              <w:tc>
                <w:tcPr>
                  <w:tcW w:w="635" w:type="pct"/>
                  <w:noWrap/>
                  <w:tcMar>
                    <w:top w:w="15" w:type="dxa"/>
                    <w:left w:w="15" w:type="dxa"/>
                    <w:right w:w="15" w:type="dxa"/>
                  </w:tcMar>
                  <w:vAlign w:val="center"/>
                </w:tcPr>
                <w:p w14:paraId="7C430A65">
                  <w:pPr>
                    <w:spacing w:line="320" w:lineRule="exact"/>
                    <w:jc w:val="center"/>
                    <w:textAlignment w:val="baseline"/>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29340.64</w:t>
                  </w:r>
                </w:p>
              </w:tc>
              <w:tc>
                <w:tcPr>
                  <w:tcW w:w="634" w:type="pct"/>
                  <w:noWrap/>
                  <w:tcMar>
                    <w:top w:w="15" w:type="dxa"/>
                    <w:left w:w="15" w:type="dxa"/>
                    <w:right w:w="15" w:type="dxa"/>
                  </w:tcMar>
                  <w:vAlign w:val="center"/>
                </w:tcPr>
                <w:p w14:paraId="2B2612A8">
                  <w:pPr>
                    <w:spacing w:line="320" w:lineRule="exact"/>
                    <w:jc w:val="center"/>
                    <w:textAlignment w:val="baseline"/>
                    <w:rPr>
                      <w:rFonts w:hint="eastAsia" w:cs="Times New Roman"/>
                      <w:color w:val="auto"/>
                      <w:sz w:val="21"/>
                      <w:szCs w:val="21"/>
                      <w:lang w:val="en-US" w:eastAsia="zh-CN"/>
                    </w:rPr>
                  </w:pPr>
                  <w:r>
                    <w:rPr>
                      <w:rFonts w:hint="eastAsia"/>
                      <w:color w:val="auto"/>
                      <w:szCs w:val="21"/>
                      <w:lang w:val="en-US" w:eastAsia="zh-CN"/>
                    </w:rPr>
                    <w:t>/</w:t>
                  </w:r>
                </w:p>
              </w:tc>
              <w:tc>
                <w:tcPr>
                  <w:tcW w:w="635" w:type="pct"/>
                  <w:noWrap/>
                  <w:tcMar>
                    <w:top w:w="15" w:type="dxa"/>
                    <w:left w:w="15" w:type="dxa"/>
                    <w:right w:w="15" w:type="dxa"/>
                  </w:tcMar>
                  <w:vAlign w:val="center"/>
                </w:tcPr>
                <w:p w14:paraId="1469EDF0">
                  <w:pPr>
                    <w:spacing w:line="320" w:lineRule="exact"/>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29340.64</w:t>
                  </w:r>
                </w:p>
              </w:tc>
            </w:tr>
            <w:tr w14:paraId="3A154C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50" w:type="pct"/>
                  <w:vMerge w:val="continue"/>
                  <w:noWrap/>
                  <w:tcMar>
                    <w:top w:w="15" w:type="dxa"/>
                    <w:left w:w="15" w:type="dxa"/>
                    <w:right w:w="15" w:type="dxa"/>
                  </w:tcMar>
                  <w:vAlign w:val="center"/>
                </w:tcPr>
                <w:p w14:paraId="02C7F4B0">
                  <w:pPr>
                    <w:pStyle w:val="121"/>
                    <w:rPr>
                      <w:rFonts w:hint="default" w:ascii="Times New Roman" w:hAnsi="Times New Roman" w:eastAsia="宋体" w:cs="Times New Roman"/>
                      <w:color w:val="auto"/>
                      <w:sz w:val="21"/>
                      <w:szCs w:val="21"/>
                      <w:lang w:val="en-US" w:eastAsia="zh-CN"/>
                    </w:rPr>
                  </w:pPr>
                </w:p>
              </w:tc>
              <w:tc>
                <w:tcPr>
                  <w:tcW w:w="798" w:type="pct"/>
                  <w:noWrap/>
                  <w:tcMar>
                    <w:top w:w="15" w:type="dxa"/>
                    <w:left w:w="15" w:type="dxa"/>
                    <w:right w:w="15" w:type="dxa"/>
                  </w:tcMar>
                  <w:vAlign w:val="center"/>
                </w:tcPr>
                <w:p w14:paraId="14B9C5EF">
                  <w:pPr>
                    <w:spacing w:line="320" w:lineRule="exact"/>
                    <w:jc w:val="center"/>
                    <w:textAlignment w:val="baseline"/>
                    <w:rPr>
                      <w:rFonts w:hint="eastAsia" w:cs="Times New Roman"/>
                      <w:color w:val="auto"/>
                      <w:sz w:val="21"/>
                      <w:szCs w:val="21"/>
                      <w:lang w:eastAsia="zh-CN"/>
                    </w:rPr>
                  </w:pPr>
                  <w:r>
                    <w:rPr>
                      <w:rFonts w:hint="eastAsia"/>
                      <w:color w:val="auto"/>
                      <w:szCs w:val="21"/>
                      <w:lang w:val="en-US" w:eastAsia="zh-CN"/>
                    </w:rPr>
                    <w:t>3PE防腐</w:t>
                  </w:r>
                  <w:r>
                    <w:rPr>
                      <w:rFonts w:hint="eastAsia"/>
                      <w:color w:val="auto"/>
                      <w:szCs w:val="21"/>
                      <w:lang w:eastAsia="zh-CN"/>
                    </w:rPr>
                    <w:t>螺旋管</w:t>
                  </w:r>
                </w:p>
              </w:tc>
              <w:tc>
                <w:tcPr>
                  <w:tcW w:w="628" w:type="pct"/>
                  <w:noWrap w:val="0"/>
                  <w:tcMar>
                    <w:top w:w="15" w:type="dxa"/>
                    <w:left w:w="15" w:type="dxa"/>
                    <w:right w:w="15" w:type="dxa"/>
                  </w:tcMar>
                  <w:vAlign w:val="center"/>
                </w:tcPr>
                <w:p w14:paraId="7772ADC1">
                  <w:pPr>
                    <w:spacing w:line="320" w:lineRule="exact"/>
                    <w:jc w:val="center"/>
                    <w:textAlignment w:val="baseline"/>
                    <w:rPr>
                      <w:rFonts w:hint="default"/>
                      <w:color w:val="auto"/>
                      <w:szCs w:val="21"/>
                      <w:lang w:val="en-US" w:eastAsia="zh-CN"/>
                    </w:rPr>
                  </w:pPr>
                  <w:r>
                    <w:rPr>
                      <w:rFonts w:hint="eastAsia"/>
                      <w:color w:val="auto"/>
                      <w:szCs w:val="21"/>
                      <w:lang w:val="en-US" w:eastAsia="zh-CN"/>
                    </w:rPr>
                    <w:t>2242</w:t>
                  </w:r>
                </w:p>
              </w:tc>
              <w:tc>
                <w:tcPr>
                  <w:tcW w:w="683" w:type="pct"/>
                  <w:noWrap/>
                  <w:tcMar>
                    <w:top w:w="15" w:type="dxa"/>
                    <w:left w:w="15" w:type="dxa"/>
                    <w:right w:w="15" w:type="dxa"/>
                  </w:tcMar>
                  <w:vAlign w:val="center"/>
                </w:tcPr>
                <w:p w14:paraId="0107B499">
                  <w:pPr>
                    <w:spacing w:line="320" w:lineRule="exact"/>
                    <w:jc w:val="center"/>
                    <w:textAlignment w:val="baseline"/>
                    <w:rPr>
                      <w:rFonts w:hint="eastAsia"/>
                      <w:color w:val="auto"/>
                      <w:szCs w:val="21"/>
                      <w:lang w:val="en-US" w:eastAsia="zh-CN"/>
                    </w:rPr>
                  </w:pPr>
                  <w:r>
                    <w:rPr>
                      <w:rFonts w:hint="eastAsia"/>
                      <w:color w:val="auto"/>
                      <w:szCs w:val="21"/>
                      <w:lang w:val="en-US" w:eastAsia="zh-CN"/>
                    </w:rPr>
                    <w:t>2242</w:t>
                  </w:r>
                </w:p>
              </w:tc>
              <w:tc>
                <w:tcPr>
                  <w:tcW w:w="634" w:type="pct"/>
                  <w:noWrap/>
                  <w:tcMar>
                    <w:top w:w="15" w:type="dxa"/>
                    <w:left w:w="15" w:type="dxa"/>
                    <w:right w:w="15" w:type="dxa"/>
                  </w:tcMar>
                  <w:vAlign w:val="center"/>
                </w:tcPr>
                <w:p w14:paraId="417D2CE2">
                  <w:pPr>
                    <w:spacing w:line="320" w:lineRule="exact"/>
                    <w:jc w:val="center"/>
                    <w:textAlignment w:val="baseline"/>
                    <w:rPr>
                      <w:rFonts w:hint="eastAsia"/>
                      <w:color w:val="auto"/>
                      <w:szCs w:val="21"/>
                      <w:lang w:val="en-US" w:eastAsia="zh-CN"/>
                    </w:rPr>
                  </w:pPr>
                  <w:r>
                    <w:rPr>
                      <w:rFonts w:hint="eastAsia"/>
                      <w:color w:val="auto"/>
                      <w:szCs w:val="21"/>
                      <w:lang w:val="en-US" w:eastAsia="zh-CN"/>
                    </w:rPr>
                    <w:t>/</w:t>
                  </w:r>
                </w:p>
              </w:tc>
              <w:tc>
                <w:tcPr>
                  <w:tcW w:w="635" w:type="pct"/>
                  <w:noWrap/>
                  <w:tcMar>
                    <w:top w:w="15" w:type="dxa"/>
                    <w:left w:w="15" w:type="dxa"/>
                    <w:right w:w="15" w:type="dxa"/>
                  </w:tcMar>
                  <w:vAlign w:val="center"/>
                </w:tcPr>
                <w:p w14:paraId="4B946458">
                  <w:pPr>
                    <w:spacing w:line="320" w:lineRule="exact"/>
                    <w:jc w:val="center"/>
                    <w:textAlignment w:val="baseline"/>
                    <w:rPr>
                      <w:rFonts w:hint="default" w:eastAsia="宋体"/>
                      <w:color w:val="auto"/>
                      <w:szCs w:val="21"/>
                      <w:lang w:val="en-US" w:eastAsia="zh-CN"/>
                    </w:rPr>
                  </w:pPr>
                  <w:r>
                    <w:rPr>
                      <w:rFonts w:hint="eastAsia"/>
                      <w:color w:val="auto"/>
                      <w:szCs w:val="21"/>
                      <w:lang w:val="en-US" w:eastAsia="zh-CN"/>
                    </w:rPr>
                    <w:t>446598.6</w:t>
                  </w:r>
                </w:p>
              </w:tc>
              <w:tc>
                <w:tcPr>
                  <w:tcW w:w="634" w:type="pct"/>
                  <w:noWrap/>
                  <w:tcMar>
                    <w:top w:w="15" w:type="dxa"/>
                    <w:left w:w="15" w:type="dxa"/>
                    <w:right w:w="15" w:type="dxa"/>
                  </w:tcMar>
                  <w:vAlign w:val="center"/>
                </w:tcPr>
                <w:p w14:paraId="53EED69F">
                  <w:pPr>
                    <w:spacing w:line="320" w:lineRule="exact"/>
                    <w:jc w:val="center"/>
                    <w:textAlignment w:val="baseline"/>
                    <w:rPr>
                      <w:rFonts w:hint="eastAsia"/>
                      <w:color w:val="auto"/>
                      <w:szCs w:val="21"/>
                      <w:lang w:val="en-US" w:eastAsia="zh-CN"/>
                    </w:rPr>
                  </w:pPr>
                  <w:r>
                    <w:rPr>
                      <w:rFonts w:hint="eastAsia"/>
                      <w:color w:val="auto"/>
                      <w:szCs w:val="21"/>
                      <w:lang w:val="en-US" w:eastAsia="zh-CN"/>
                    </w:rPr>
                    <w:t>/</w:t>
                  </w:r>
                </w:p>
              </w:tc>
              <w:tc>
                <w:tcPr>
                  <w:tcW w:w="635" w:type="pct"/>
                  <w:noWrap/>
                  <w:tcMar>
                    <w:top w:w="15" w:type="dxa"/>
                    <w:left w:w="15" w:type="dxa"/>
                    <w:right w:w="15" w:type="dxa"/>
                  </w:tcMar>
                  <w:vAlign w:val="center"/>
                </w:tcPr>
                <w:p w14:paraId="500504D9">
                  <w:pPr>
                    <w:spacing w:line="320" w:lineRule="exact"/>
                    <w:jc w:val="center"/>
                    <w:textAlignment w:val="baseline"/>
                    <w:rPr>
                      <w:rFonts w:hint="eastAsia"/>
                      <w:color w:val="auto"/>
                      <w:szCs w:val="21"/>
                      <w:lang w:val="en-US" w:eastAsia="zh-CN"/>
                    </w:rPr>
                  </w:pPr>
                  <w:r>
                    <w:rPr>
                      <w:rFonts w:hint="eastAsia"/>
                      <w:color w:val="auto"/>
                      <w:szCs w:val="21"/>
                      <w:lang w:val="en-US" w:eastAsia="zh-CN"/>
                    </w:rPr>
                    <w:t>446598.6</w:t>
                  </w:r>
                </w:p>
              </w:tc>
            </w:tr>
            <w:tr w14:paraId="5C02BE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48" w:type="pct"/>
                  <w:gridSpan w:val="2"/>
                  <w:noWrap/>
                  <w:tcMar>
                    <w:top w:w="15" w:type="dxa"/>
                    <w:left w:w="15" w:type="dxa"/>
                    <w:right w:w="15" w:type="dxa"/>
                  </w:tcMar>
                  <w:vAlign w:val="center"/>
                </w:tcPr>
                <w:p w14:paraId="7904A7AD">
                  <w:pPr>
                    <w:spacing w:line="320" w:lineRule="exact"/>
                    <w:jc w:val="center"/>
                    <w:textAlignment w:val="baseline"/>
                    <w:rPr>
                      <w:rFonts w:hint="eastAsia"/>
                      <w:color w:val="auto"/>
                      <w:szCs w:val="21"/>
                      <w:lang w:val="en-US" w:eastAsia="zh-CN"/>
                    </w:rPr>
                  </w:pPr>
                  <w:r>
                    <w:rPr>
                      <w:rFonts w:hint="eastAsia"/>
                      <w:color w:val="auto"/>
                      <w:szCs w:val="21"/>
                      <w:lang w:eastAsia="zh-CN"/>
                    </w:rPr>
                    <w:t>大管径钢管</w:t>
                  </w:r>
                </w:p>
              </w:tc>
              <w:tc>
                <w:tcPr>
                  <w:tcW w:w="628" w:type="pct"/>
                  <w:noWrap w:val="0"/>
                  <w:tcMar>
                    <w:top w:w="15" w:type="dxa"/>
                    <w:left w:w="15" w:type="dxa"/>
                    <w:right w:w="15" w:type="dxa"/>
                  </w:tcMar>
                  <w:vAlign w:val="center"/>
                </w:tcPr>
                <w:p w14:paraId="776D2220">
                  <w:pPr>
                    <w:spacing w:line="320" w:lineRule="exact"/>
                    <w:jc w:val="center"/>
                    <w:textAlignment w:val="baseline"/>
                    <w:rPr>
                      <w:rFonts w:hint="default"/>
                      <w:color w:val="auto"/>
                      <w:szCs w:val="21"/>
                      <w:lang w:val="en-US" w:eastAsia="zh-CN"/>
                    </w:rPr>
                  </w:pPr>
                  <w:r>
                    <w:rPr>
                      <w:rFonts w:hint="eastAsia"/>
                      <w:color w:val="auto"/>
                      <w:szCs w:val="21"/>
                      <w:lang w:val="en-US" w:eastAsia="zh-CN"/>
                    </w:rPr>
                    <w:t>108200</w:t>
                  </w:r>
                </w:p>
              </w:tc>
              <w:tc>
                <w:tcPr>
                  <w:tcW w:w="683" w:type="pct"/>
                  <w:noWrap/>
                  <w:tcMar>
                    <w:top w:w="15" w:type="dxa"/>
                    <w:left w:w="15" w:type="dxa"/>
                    <w:right w:w="15" w:type="dxa"/>
                  </w:tcMar>
                  <w:vAlign w:val="center"/>
                </w:tcPr>
                <w:p w14:paraId="74D265A5">
                  <w:pPr>
                    <w:spacing w:line="320" w:lineRule="exact"/>
                    <w:jc w:val="center"/>
                    <w:textAlignment w:val="baseline"/>
                    <w:rPr>
                      <w:rFonts w:hint="eastAsia"/>
                      <w:color w:val="auto"/>
                      <w:szCs w:val="21"/>
                      <w:lang w:val="en-US" w:eastAsia="zh-CN"/>
                    </w:rPr>
                  </w:pPr>
                  <w:r>
                    <w:rPr>
                      <w:rFonts w:hint="eastAsia"/>
                      <w:color w:val="auto"/>
                      <w:szCs w:val="21"/>
                      <w:lang w:val="en-US" w:eastAsia="zh-CN"/>
                    </w:rPr>
                    <w:t>108200</w:t>
                  </w:r>
                </w:p>
              </w:tc>
              <w:tc>
                <w:tcPr>
                  <w:tcW w:w="634" w:type="pct"/>
                  <w:noWrap/>
                  <w:tcMar>
                    <w:top w:w="15" w:type="dxa"/>
                    <w:left w:w="15" w:type="dxa"/>
                    <w:right w:w="15" w:type="dxa"/>
                  </w:tcMar>
                  <w:vAlign w:val="center"/>
                </w:tcPr>
                <w:p w14:paraId="64C5F713">
                  <w:pPr>
                    <w:spacing w:line="320" w:lineRule="exact"/>
                    <w:jc w:val="center"/>
                    <w:textAlignment w:val="baseline"/>
                    <w:rPr>
                      <w:rFonts w:hint="eastAsia"/>
                      <w:color w:val="auto"/>
                      <w:szCs w:val="21"/>
                      <w:lang w:val="en-US" w:eastAsia="zh-CN"/>
                    </w:rPr>
                  </w:pPr>
                  <w:r>
                    <w:rPr>
                      <w:rFonts w:hint="eastAsia"/>
                      <w:color w:val="auto"/>
                      <w:szCs w:val="21"/>
                      <w:lang w:val="en-US" w:eastAsia="zh-CN"/>
                    </w:rPr>
                    <w:t>/</w:t>
                  </w:r>
                </w:p>
              </w:tc>
              <w:tc>
                <w:tcPr>
                  <w:tcW w:w="635" w:type="pct"/>
                  <w:noWrap/>
                  <w:tcMar>
                    <w:top w:w="15" w:type="dxa"/>
                    <w:left w:w="15" w:type="dxa"/>
                    <w:right w:w="15" w:type="dxa"/>
                  </w:tcMar>
                  <w:vAlign w:val="center"/>
                </w:tcPr>
                <w:p w14:paraId="14AF8F7C">
                  <w:pPr>
                    <w:spacing w:line="320" w:lineRule="exact"/>
                    <w:jc w:val="center"/>
                    <w:textAlignment w:val="baseline"/>
                    <w:rPr>
                      <w:rFonts w:hint="eastAsia" w:eastAsia="宋体"/>
                      <w:color w:val="auto"/>
                      <w:szCs w:val="21"/>
                      <w:lang w:val="en-US" w:eastAsia="zh-CN"/>
                    </w:rPr>
                  </w:pPr>
                  <w:r>
                    <w:rPr>
                      <w:rFonts w:hint="eastAsia"/>
                      <w:color w:val="auto"/>
                      <w:szCs w:val="21"/>
                      <w:lang w:val="en-US" w:eastAsia="zh-CN"/>
                    </w:rPr>
                    <w:t>/</w:t>
                  </w:r>
                </w:p>
              </w:tc>
              <w:tc>
                <w:tcPr>
                  <w:tcW w:w="634" w:type="pct"/>
                  <w:noWrap/>
                  <w:tcMar>
                    <w:top w:w="15" w:type="dxa"/>
                    <w:left w:w="15" w:type="dxa"/>
                    <w:right w:w="15" w:type="dxa"/>
                  </w:tcMar>
                  <w:vAlign w:val="center"/>
                </w:tcPr>
                <w:p w14:paraId="12F66C1F">
                  <w:pPr>
                    <w:spacing w:line="320" w:lineRule="exact"/>
                    <w:jc w:val="center"/>
                    <w:textAlignment w:val="baseline"/>
                    <w:rPr>
                      <w:rFonts w:hint="eastAsia"/>
                      <w:color w:val="auto"/>
                      <w:szCs w:val="21"/>
                      <w:lang w:val="en-US" w:eastAsia="zh-CN"/>
                    </w:rPr>
                  </w:pPr>
                  <w:r>
                    <w:rPr>
                      <w:rFonts w:hint="eastAsia"/>
                      <w:color w:val="auto"/>
                      <w:szCs w:val="21"/>
                      <w:lang w:val="en-US" w:eastAsia="zh-CN"/>
                    </w:rPr>
                    <w:t>/</w:t>
                  </w:r>
                </w:p>
              </w:tc>
              <w:tc>
                <w:tcPr>
                  <w:tcW w:w="635" w:type="pct"/>
                  <w:noWrap/>
                  <w:tcMar>
                    <w:top w:w="15" w:type="dxa"/>
                    <w:left w:w="15" w:type="dxa"/>
                    <w:right w:w="15" w:type="dxa"/>
                  </w:tcMar>
                  <w:vAlign w:val="center"/>
                </w:tcPr>
                <w:p w14:paraId="74648ABB">
                  <w:pPr>
                    <w:spacing w:line="320" w:lineRule="exact"/>
                    <w:jc w:val="center"/>
                    <w:textAlignment w:val="baseline"/>
                    <w:rPr>
                      <w:rFonts w:hint="eastAsia"/>
                      <w:color w:val="auto"/>
                      <w:szCs w:val="21"/>
                      <w:lang w:val="en-US" w:eastAsia="zh-CN"/>
                    </w:rPr>
                  </w:pPr>
                  <w:r>
                    <w:rPr>
                      <w:rFonts w:hint="eastAsia"/>
                      <w:color w:val="auto"/>
                      <w:szCs w:val="21"/>
                      <w:lang w:val="en-US" w:eastAsia="zh-CN"/>
                    </w:rPr>
                    <w:t>/</w:t>
                  </w:r>
                </w:p>
              </w:tc>
            </w:tr>
            <w:tr w14:paraId="6C902E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48" w:type="pct"/>
                  <w:gridSpan w:val="2"/>
                  <w:noWrap/>
                  <w:tcMar>
                    <w:top w:w="15" w:type="dxa"/>
                    <w:left w:w="15" w:type="dxa"/>
                    <w:right w:w="15" w:type="dxa"/>
                  </w:tcMar>
                  <w:vAlign w:val="center"/>
                </w:tcPr>
                <w:p w14:paraId="38314CE1">
                  <w:pPr>
                    <w:spacing w:line="320" w:lineRule="exact"/>
                    <w:jc w:val="center"/>
                    <w:textAlignment w:val="baseline"/>
                    <w:rPr>
                      <w:rFonts w:hint="eastAsia"/>
                      <w:color w:val="auto"/>
                      <w:szCs w:val="21"/>
                      <w:lang w:eastAsia="zh-CN"/>
                    </w:rPr>
                  </w:pPr>
                  <w:r>
                    <w:rPr>
                      <w:rFonts w:hint="eastAsia"/>
                      <w:color w:val="auto"/>
                      <w:szCs w:val="21"/>
                      <w:lang w:eastAsia="zh-CN"/>
                    </w:rPr>
                    <w:t>总计</w:t>
                  </w:r>
                </w:p>
              </w:tc>
              <w:tc>
                <w:tcPr>
                  <w:tcW w:w="628" w:type="pct"/>
                  <w:shd w:val="clear" w:color="auto" w:fill="auto"/>
                  <w:noWrap w:val="0"/>
                  <w:tcMar>
                    <w:top w:w="15" w:type="dxa"/>
                    <w:left w:w="15" w:type="dxa"/>
                    <w:right w:w="15" w:type="dxa"/>
                  </w:tcMar>
                  <w:vAlign w:val="center"/>
                </w:tcPr>
                <w:p w14:paraId="499FD36F">
                  <w:pPr>
                    <w:spacing w:line="320" w:lineRule="exact"/>
                    <w:jc w:val="center"/>
                    <w:textAlignment w:val="baseline"/>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200000</w:t>
                  </w:r>
                </w:p>
              </w:tc>
              <w:tc>
                <w:tcPr>
                  <w:tcW w:w="683" w:type="pct"/>
                  <w:noWrap/>
                  <w:tcMar>
                    <w:top w:w="15" w:type="dxa"/>
                    <w:left w:w="15" w:type="dxa"/>
                    <w:right w:w="15" w:type="dxa"/>
                  </w:tcMar>
                  <w:vAlign w:val="center"/>
                </w:tcPr>
                <w:p w14:paraId="581E6164">
                  <w:pPr>
                    <w:spacing w:line="320" w:lineRule="exact"/>
                    <w:jc w:val="center"/>
                    <w:textAlignment w:val="baseline"/>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200000</w:t>
                  </w:r>
                </w:p>
              </w:tc>
              <w:tc>
                <w:tcPr>
                  <w:tcW w:w="1269" w:type="pct"/>
                  <w:gridSpan w:val="2"/>
                  <w:noWrap/>
                  <w:tcMar>
                    <w:top w:w="15" w:type="dxa"/>
                    <w:left w:w="15" w:type="dxa"/>
                    <w:right w:w="15" w:type="dxa"/>
                  </w:tcMar>
                  <w:vAlign w:val="center"/>
                </w:tcPr>
                <w:p w14:paraId="229B5BAF">
                  <w:pPr>
                    <w:spacing w:line="320" w:lineRule="exact"/>
                    <w:jc w:val="center"/>
                    <w:textAlignment w:val="baseline"/>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500016.74</w:t>
                  </w:r>
                </w:p>
              </w:tc>
              <w:tc>
                <w:tcPr>
                  <w:tcW w:w="1269" w:type="pct"/>
                  <w:gridSpan w:val="2"/>
                  <w:noWrap/>
                  <w:tcMar>
                    <w:top w:w="15" w:type="dxa"/>
                    <w:left w:w="15" w:type="dxa"/>
                    <w:right w:w="15" w:type="dxa"/>
                  </w:tcMar>
                  <w:vAlign w:val="center"/>
                </w:tcPr>
                <w:p w14:paraId="02B0791C">
                  <w:pPr>
                    <w:spacing w:line="320" w:lineRule="exact"/>
                    <w:jc w:val="center"/>
                    <w:textAlignment w:val="baseline"/>
                    <w:rPr>
                      <w:rFonts w:hint="eastAsia" w:ascii="Times New Roman" w:hAnsi="Times New Roman" w:eastAsia="宋体" w:cs="Times New Roman"/>
                      <w:color w:val="auto"/>
                      <w:szCs w:val="21"/>
                      <w:lang w:val="en-US" w:eastAsia="zh-CN"/>
                    </w:rPr>
                  </w:pPr>
                  <w:r>
                    <w:rPr>
                      <w:rFonts w:hint="eastAsia"/>
                      <w:color w:val="auto"/>
                      <w:szCs w:val="21"/>
                      <w:lang w:val="en-US" w:eastAsia="zh-CN"/>
                    </w:rPr>
                    <w:t>475939.24</w:t>
                  </w:r>
                </w:p>
              </w:tc>
            </w:tr>
          </w:tbl>
          <w:p w14:paraId="585F3E67">
            <w:pPr>
              <w:adjustRightInd w:val="0"/>
              <w:snapToGrid w:val="0"/>
              <w:spacing w:line="360" w:lineRule="auto"/>
              <w:ind w:firstLine="480" w:firstLineChars="200"/>
              <w:rPr>
                <w:color w:val="auto"/>
                <w:sz w:val="24"/>
                <w:szCs w:val="24"/>
              </w:rPr>
            </w:pPr>
            <w:r>
              <w:rPr>
                <w:rFonts w:hint="eastAsia"/>
                <w:color w:val="auto"/>
                <w:sz w:val="24"/>
                <w:szCs w:val="24"/>
              </w:rPr>
              <w:t>（2）项目主要工程内容</w:t>
            </w:r>
          </w:p>
          <w:p w14:paraId="1CD7D6BB">
            <w:pPr>
              <w:adjustRightInd w:val="0"/>
              <w:snapToGrid w:val="0"/>
              <w:spacing w:line="360" w:lineRule="auto"/>
              <w:ind w:firstLine="480" w:firstLineChars="200"/>
              <w:rPr>
                <w:color w:val="auto"/>
                <w:sz w:val="24"/>
                <w:szCs w:val="24"/>
              </w:rPr>
            </w:pPr>
            <w:r>
              <w:rPr>
                <w:rFonts w:hint="eastAsia"/>
                <w:color w:val="auto"/>
                <w:sz w:val="24"/>
                <w:szCs w:val="24"/>
              </w:rPr>
              <w:t>项目主要工程内容组成见表2-</w:t>
            </w:r>
            <w:r>
              <w:rPr>
                <w:color w:val="auto"/>
                <w:sz w:val="24"/>
                <w:szCs w:val="24"/>
              </w:rPr>
              <w:t>3</w:t>
            </w:r>
            <w:r>
              <w:rPr>
                <w:rFonts w:hint="eastAsia"/>
                <w:color w:val="auto"/>
                <w:sz w:val="24"/>
                <w:szCs w:val="24"/>
              </w:rPr>
              <w:t>。</w:t>
            </w:r>
          </w:p>
          <w:p w14:paraId="654C36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z w:val="24"/>
              </w:rPr>
            </w:pPr>
            <w:r>
              <w:rPr>
                <w:rFonts w:ascii="Times New Roman" w:hAnsi="Times New Roman" w:eastAsia="宋体" w:cs="Times New Roman"/>
                <w:b/>
                <w:color w:val="auto"/>
                <w:sz w:val="24"/>
              </w:rPr>
              <w:t>表2-</w:t>
            </w:r>
            <w:r>
              <w:rPr>
                <w:rFonts w:hint="default" w:ascii="Times New Roman" w:hAnsi="Times New Roman" w:eastAsia="宋体" w:cs="Times New Roman"/>
                <w:b/>
                <w:color w:val="auto"/>
                <w:sz w:val="24"/>
              </w:rPr>
              <w:t>3 建设项目</w:t>
            </w:r>
            <w:r>
              <w:rPr>
                <w:rFonts w:ascii="Times New Roman" w:hAnsi="Times New Roman" w:eastAsia="宋体" w:cs="Times New Roman"/>
                <w:b/>
                <w:color w:val="auto"/>
                <w:sz w:val="24"/>
              </w:rPr>
              <w:t>主要工程内容组成一览表</w:t>
            </w:r>
          </w:p>
          <w:tbl>
            <w:tblPr>
              <w:tblStyle w:val="34"/>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1079"/>
              <w:gridCol w:w="3100"/>
              <w:gridCol w:w="3025"/>
              <w:gridCol w:w="1610"/>
            </w:tblGrid>
            <w:tr w14:paraId="7B18EC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18" w:type="pct"/>
                  <w:vAlign w:val="center"/>
                </w:tcPr>
                <w:p w14:paraId="24AC2358">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名称</w:t>
                  </w:r>
                </w:p>
              </w:tc>
              <w:tc>
                <w:tcPr>
                  <w:tcW w:w="573" w:type="pct"/>
                  <w:vAlign w:val="center"/>
                </w:tcPr>
                <w:p w14:paraId="3BDADF12">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主要构筑物</w:t>
                  </w:r>
                </w:p>
              </w:tc>
              <w:tc>
                <w:tcPr>
                  <w:tcW w:w="1646" w:type="pct"/>
                  <w:vAlign w:val="center"/>
                </w:tcPr>
                <w:p w14:paraId="1BFD0EE1">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环评及批复建设内容及规模</w:t>
                  </w:r>
                </w:p>
              </w:tc>
              <w:tc>
                <w:tcPr>
                  <w:tcW w:w="1606" w:type="pct"/>
                  <w:vAlign w:val="center"/>
                </w:tcPr>
                <w:p w14:paraId="00F5041C">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一期实际建设内容及规模</w:t>
                  </w:r>
                </w:p>
              </w:tc>
              <w:tc>
                <w:tcPr>
                  <w:tcW w:w="855" w:type="pct"/>
                  <w:vAlign w:val="center"/>
                </w:tcPr>
                <w:p w14:paraId="4CC3EBE2">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变化情况</w:t>
                  </w:r>
                </w:p>
              </w:tc>
            </w:tr>
            <w:tr w14:paraId="0951EA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318" w:type="pct"/>
                  <w:vAlign w:val="center"/>
                </w:tcPr>
                <w:p w14:paraId="2081A17C">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主体</w:t>
                  </w:r>
                </w:p>
                <w:p w14:paraId="6A004677">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工程</w:t>
                  </w:r>
                </w:p>
              </w:tc>
              <w:tc>
                <w:tcPr>
                  <w:tcW w:w="573" w:type="pct"/>
                  <w:vAlign w:val="center"/>
                </w:tcPr>
                <w:p w14:paraId="70BA5EF9">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钢结构厂房</w:t>
                  </w:r>
                </w:p>
              </w:tc>
              <w:tc>
                <w:tcPr>
                  <w:tcW w:w="1646" w:type="pct"/>
                  <w:vAlign w:val="center"/>
                </w:tcPr>
                <w:p w14:paraId="4553D3BA">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IF，H=14m，计容建筑面积为37812m</w:t>
                  </w:r>
                  <w:r>
                    <w:rPr>
                      <w:rFonts w:hint="eastAsia"/>
                      <w:bCs/>
                      <w:color w:val="auto"/>
                      <w:sz w:val="21"/>
                      <w:szCs w:val="21"/>
                      <w:highlight w:val="none"/>
                      <w:vertAlign w:val="superscript"/>
                      <w:lang w:val="en-US" w:eastAsia="zh-CN"/>
                    </w:rPr>
                    <w:t>2</w:t>
                  </w:r>
                  <w:r>
                    <w:rPr>
                      <w:rFonts w:hint="eastAsia"/>
                      <w:bCs/>
                      <w:color w:val="auto"/>
                      <w:sz w:val="21"/>
                      <w:szCs w:val="21"/>
                      <w:highlight w:val="none"/>
                      <w:lang w:val="en-US" w:eastAsia="zh-CN"/>
                    </w:rPr>
                    <w:t>；布置为原材料区、分条区、螺旋管埋弧焊机组区、平头倒棱区、补焊区、水压测试区、X光室、喷漆房、抛丸除锈区、电加热区、喷塑缠绕水冷一体生产线区、大管径钢管压弯卷管区、成品区、辅料储存区。</w:t>
                  </w:r>
                </w:p>
              </w:tc>
              <w:tc>
                <w:tcPr>
                  <w:tcW w:w="1606" w:type="pct"/>
                  <w:vAlign w:val="center"/>
                </w:tcPr>
                <w:p w14:paraId="22B3965D">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IF，H=14m，计容建筑面积为37812m</w:t>
                  </w:r>
                  <w:r>
                    <w:rPr>
                      <w:rFonts w:hint="eastAsia"/>
                      <w:bCs/>
                      <w:color w:val="auto"/>
                      <w:sz w:val="21"/>
                      <w:szCs w:val="21"/>
                      <w:highlight w:val="none"/>
                      <w:vertAlign w:val="superscript"/>
                      <w:lang w:val="en-US" w:eastAsia="zh-CN"/>
                    </w:rPr>
                    <w:t>2</w:t>
                  </w:r>
                  <w:r>
                    <w:rPr>
                      <w:rFonts w:hint="eastAsia"/>
                      <w:bCs/>
                      <w:color w:val="auto"/>
                      <w:sz w:val="21"/>
                      <w:szCs w:val="21"/>
                      <w:highlight w:val="none"/>
                      <w:lang w:val="en-US" w:eastAsia="zh-CN"/>
                    </w:rPr>
                    <w:t>；布置为原材料区、分条区、螺旋管埋弧焊机组区、平头倒棱区、补焊区、水压测试区、X光室、抛丸除锈区、电加热区、喷塑缠绕水冷一体生产线区、大管径钢管压弯卷管区、成品区、辅料储存区。</w:t>
                  </w:r>
                </w:p>
              </w:tc>
              <w:tc>
                <w:tcPr>
                  <w:tcW w:w="855" w:type="pct"/>
                  <w:vAlign w:val="center"/>
                </w:tcPr>
                <w:p w14:paraId="129ABE70">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一期不涉及喷漆工序，不建设喷漆房</w:t>
                  </w:r>
                </w:p>
              </w:tc>
            </w:tr>
            <w:tr w14:paraId="2F3A78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18" w:type="pct"/>
                  <w:vMerge w:val="restart"/>
                  <w:vAlign w:val="center"/>
                </w:tcPr>
                <w:p w14:paraId="7B6E0047">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储运工程</w:t>
                  </w:r>
                </w:p>
              </w:tc>
              <w:tc>
                <w:tcPr>
                  <w:tcW w:w="573" w:type="pct"/>
                  <w:vAlign w:val="center"/>
                </w:tcPr>
                <w:p w14:paraId="20828435">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原材料区</w:t>
                  </w:r>
                </w:p>
              </w:tc>
              <w:tc>
                <w:tcPr>
                  <w:tcW w:w="1646" w:type="pct"/>
                  <w:vAlign w:val="center"/>
                </w:tcPr>
                <w:p w14:paraId="462714DB">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用于存放钢卷、钢板、助焊剂、焊丝、焊条</w:t>
                  </w:r>
                </w:p>
              </w:tc>
              <w:tc>
                <w:tcPr>
                  <w:tcW w:w="1606" w:type="pct"/>
                  <w:vAlign w:val="center"/>
                </w:tcPr>
                <w:p w14:paraId="51F46D27">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用于存放钢卷、钢板、助焊剂、焊丝、焊条</w:t>
                  </w:r>
                </w:p>
              </w:tc>
              <w:tc>
                <w:tcPr>
                  <w:tcW w:w="855" w:type="pct"/>
                  <w:vAlign w:val="center"/>
                </w:tcPr>
                <w:p w14:paraId="13A67756">
                  <w:pPr>
                    <w:jc w:val="center"/>
                    <w:rPr>
                      <w:rFonts w:hint="eastAsia"/>
                      <w:bCs/>
                      <w:color w:val="auto"/>
                      <w:sz w:val="21"/>
                      <w:szCs w:val="21"/>
                      <w:highlight w:val="none"/>
                      <w:lang w:val="en-US" w:eastAsia="zh-CN"/>
                    </w:rPr>
                  </w:pPr>
                  <w:r>
                    <w:rPr>
                      <w:rFonts w:hint="default"/>
                      <w:bCs/>
                      <w:color w:val="auto"/>
                      <w:sz w:val="21"/>
                      <w:szCs w:val="21"/>
                      <w:highlight w:val="none"/>
                      <w:lang w:val="en-US" w:eastAsia="zh-CN"/>
                    </w:rPr>
                    <w:t>无</w:t>
                  </w:r>
                </w:p>
              </w:tc>
            </w:tr>
            <w:tr w14:paraId="191CFB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18" w:type="pct"/>
                  <w:vMerge w:val="continue"/>
                  <w:vAlign w:val="center"/>
                </w:tcPr>
                <w:p w14:paraId="693811D2">
                  <w:pPr>
                    <w:jc w:val="center"/>
                    <w:rPr>
                      <w:rFonts w:hint="eastAsia"/>
                      <w:bCs/>
                      <w:color w:val="auto"/>
                      <w:sz w:val="21"/>
                      <w:szCs w:val="21"/>
                      <w:highlight w:val="none"/>
                      <w:lang w:val="en-US" w:eastAsia="zh-CN"/>
                    </w:rPr>
                  </w:pPr>
                </w:p>
              </w:tc>
              <w:tc>
                <w:tcPr>
                  <w:tcW w:w="573" w:type="pct"/>
                  <w:vAlign w:val="center"/>
                </w:tcPr>
                <w:p w14:paraId="76F38CAD">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辅料储存区</w:t>
                  </w:r>
                </w:p>
              </w:tc>
              <w:tc>
                <w:tcPr>
                  <w:tcW w:w="1646" w:type="pct"/>
                  <w:vAlign w:val="center"/>
                </w:tcPr>
                <w:p w14:paraId="7D4A18D6">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用于存放钢丸、EP(环氧树脂粉末)、胶带、PE(聚乙烯)带</w:t>
                  </w:r>
                </w:p>
              </w:tc>
              <w:tc>
                <w:tcPr>
                  <w:tcW w:w="1606" w:type="pct"/>
                  <w:vAlign w:val="center"/>
                </w:tcPr>
                <w:p w14:paraId="3F920317">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用于存放钢丸、EP(环氧树脂粉末)、胶带、PE(聚乙烯)带</w:t>
                  </w:r>
                </w:p>
              </w:tc>
              <w:tc>
                <w:tcPr>
                  <w:tcW w:w="855" w:type="pct"/>
                  <w:vAlign w:val="center"/>
                </w:tcPr>
                <w:p w14:paraId="3BD7FCA5">
                  <w:pPr>
                    <w:jc w:val="center"/>
                    <w:rPr>
                      <w:rFonts w:hint="default"/>
                      <w:bCs/>
                      <w:color w:val="auto"/>
                      <w:sz w:val="21"/>
                      <w:szCs w:val="21"/>
                      <w:highlight w:val="none"/>
                      <w:lang w:val="en-US" w:eastAsia="zh-CN"/>
                    </w:rPr>
                  </w:pPr>
                  <w:r>
                    <w:rPr>
                      <w:rFonts w:hint="default"/>
                      <w:bCs/>
                      <w:color w:val="auto"/>
                      <w:sz w:val="21"/>
                      <w:szCs w:val="21"/>
                      <w:highlight w:val="none"/>
                      <w:lang w:val="en-US" w:eastAsia="zh-CN"/>
                    </w:rPr>
                    <w:t>无</w:t>
                  </w:r>
                </w:p>
              </w:tc>
            </w:tr>
            <w:tr w14:paraId="1D0C55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18" w:type="pct"/>
                  <w:vMerge w:val="continue"/>
                  <w:vAlign w:val="center"/>
                </w:tcPr>
                <w:p w14:paraId="75F5989E">
                  <w:pPr>
                    <w:jc w:val="center"/>
                    <w:rPr>
                      <w:rFonts w:hint="eastAsia"/>
                      <w:bCs/>
                      <w:color w:val="auto"/>
                      <w:sz w:val="21"/>
                      <w:szCs w:val="21"/>
                      <w:highlight w:val="none"/>
                      <w:lang w:val="en-US" w:eastAsia="zh-CN"/>
                    </w:rPr>
                  </w:pPr>
                </w:p>
              </w:tc>
              <w:tc>
                <w:tcPr>
                  <w:tcW w:w="573" w:type="pct"/>
                  <w:vAlign w:val="center"/>
                </w:tcPr>
                <w:p w14:paraId="05C10817">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成品区</w:t>
                  </w:r>
                </w:p>
              </w:tc>
              <w:tc>
                <w:tcPr>
                  <w:tcW w:w="1646" w:type="pct"/>
                  <w:vAlign w:val="center"/>
                </w:tcPr>
                <w:p w14:paraId="36B147DE">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用于存放项目成品</w:t>
                  </w:r>
                </w:p>
              </w:tc>
              <w:tc>
                <w:tcPr>
                  <w:tcW w:w="1606" w:type="pct"/>
                  <w:vAlign w:val="center"/>
                </w:tcPr>
                <w:p w14:paraId="5FAE1C48">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用于存放项目成品</w:t>
                  </w:r>
                </w:p>
              </w:tc>
              <w:tc>
                <w:tcPr>
                  <w:tcW w:w="855" w:type="pct"/>
                  <w:vAlign w:val="center"/>
                </w:tcPr>
                <w:p w14:paraId="457AA120">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无</w:t>
                  </w:r>
                </w:p>
              </w:tc>
            </w:tr>
            <w:tr w14:paraId="43E794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318" w:type="pct"/>
                  <w:vMerge w:val="restart"/>
                  <w:vAlign w:val="center"/>
                </w:tcPr>
                <w:p w14:paraId="3A5CAF11">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辅助</w:t>
                  </w:r>
                </w:p>
                <w:p w14:paraId="7CA6399C">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工程</w:t>
                  </w:r>
                </w:p>
              </w:tc>
              <w:tc>
                <w:tcPr>
                  <w:tcW w:w="573" w:type="pct"/>
                  <w:vAlign w:val="center"/>
                </w:tcPr>
                <w:p w14:paraId="77CBD897">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办公楼</w:t>
                  </w:r>
                </w:p>
              </w:tc>
              <w:tc>
                <w:tcPr>
                  <w:tcW w:w="1646" w:type="pct"/>
                  <w:vAlign w:val="center"/>
                </w:tcPr>
                <w:p w14:paraId="5C588379">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6F，H=23.5m；建筑面积为3888.96m</w:t>
                  </w:r>
                  <w:r>
                    <w:rPr>
                      <w:rFonts w:hint="eastAsia"/>
                      <w:bCs/>
                      <w:color w:val="auto"/>
                      <w:sz w:val="21"/>
                      <w:szCs w:val="21"/>
                      <w:highlight w:val="none"/>
                      <w:vertAlign w:val="superscript"/>
                      <w:lang w:val="en-US" w:eastAsia="zh-CN"/>
                    </w:rPr>
                    <w:t>2</w:t>
                  </w:r>
                  <w:r>
                    <w:rPr>
                      <w:rFonts w:hint="eastAsia"/>
                      <w:bCs/>
                      <w:color w:val="auto"/>
                      <w:sz w:val="21"/>
                      <w:szCs w:val="21"/>
                      <w:highlight w:val="none"/>
                      <w:lang w:val="en-US" w:eastAsia="zh-CN"/>
                    </w:rPr>
                    <w:t>；各层均为员工办公</w:t>
                  </w:r>
                </w:p>
              </w:tc>
              <w:tc>
                <w:tcPr>
                  <w:tcW w:w="1606" w:type="pct"/>
                  <w:vAlign w:val="center"/>
                </w:tcPr>
                <w:p w14:paraId="512451ED">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6F，H=23.5m；建筑面积为3888.96m</w:t>
                  </w:r>
                  <w:r>
                    <w:rPr>
                      <w:rFonts w:hint="eastAsia"/>
                      <w:bCs/>
                      <w:color w:val="auto"/>
                      <w:sz w:val="21"/>
                      <w:szCs w:val="21"/>
                      <w:highlight w:val="none"/>
                      <w:vertAlign w:val="superscript"/>
                      <w:lang w:val="en-US" w:eastAsia="zh-CN"/>
                    </w:rPr>
                    <w:t>2</w:t>
                  </w:r>
                  <w:r>
                    <w:rPr>
                      <w:rFonts w:hint="eastAsia"/>
                      <w:bCs/>
                      <w:color w:val="auto"/>
                      <w:sz w:val="21"/>
                      <w:szCs w:val="21"/>
                      <w:highlight w:val="none"/>
                      <w:lang w:val="en-US" w:eastAsia="zh-CN"/>
                    </w:rPr>
                    <w:t>；各层均为员工办公</w:t>
                  </w:r>
                </w:p>
              </w:tc>
              <w:tc>
                <w:tcPr>
                  <w:tcW w:w="855" w:type="pct"/>
                  <w:vAlign w:val="center"/>
                </w:tcPr>
                <w:p w14:paraId="556E8AA3">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无</w:t>
                  </w:r>
                </w:p>
              </w:tc>
            </w:tr>
            <w:tr w14:paraId="6471BE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318" w:type="pct"/>
                  <w:vMerge w:val="continue"/>
                  <w:vAlign w:val="center"/>
                </w:tcPr>
                <w:p w14:paraId="4B743366">
                  <w:pPr>
                    <w:jc w:val="center"/>
                    <w:rPr>
                      <w:rFonts w:hint="eastAsia"/>
                      <w:bCs/>
                      <w:color w:val="auto"/>
                      <w:sz w:val="21"/>
                      <w:szCs w:val="21"/>
                      <w:highlight w:val="none"/>
                      <w:lang w:val="en-US" w:eastAsia="zh-CN"/>
                    </w:rPr>
                  </w:pPr>
                </w:p>
              </w:tc>
              <w:tc>
                <w:tcPr>
                  <w:tcW w:w="573" w:type="pct"/>
                  <w:vAlign w:val="center"/>
                </w:tcPr>
                <w:p w14:paraId="741F91FA">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门卫</w:t>
                  </w:r>
                </w:p>
              </w:tc>
              <w:tc>
                <w:tcPr>
                  <w:tcW w:w="1646" w:type="pct"/>
                  <w:vAlign w:val="center"/>
                </w:tcPr>
                <w:p w14:paraId="4C38987C">
                  <w:pPr>
                    <w:jc w:val="center"/>
                    <w:rPr>
                      <w:rFonts w:hint="eastAsia"/>
                      <w:color w:val="auto"/>
                      <w:szCs w:val="21"/>
                    </w:rPr>
                  </w:pPr>
                  <w:r>
                    <w:rPr>
                      <w:rFonts w:hint="eastAsia"/>
                      <w:color w:val="auto"/>
                      <w:szCs w:val="21"/>
                    </w:rPr>
                    <w:t>1F，建筑面积为16m</w:t>
                  </w:r>
                  <w:r>
                    <w:rPr>
                      <w:rFonts w:hint="eastAsia"/>
                      <w:color w:val="auto"/>
                      <w:szCs w:val="21"/>
                      <w:vertAlign w:val="superscript"/>
                    </w:rPr>
                    <w:t>2</w:t>
                  </w:r>
                </w:p>
              </w:tc>
              <w:tc>
                <w:tcPr>
                  <w:tcW w:w="1606" w:type="pct"/>
                  <w:vAlign w:val="center"/>
                </w:tcPr>
                <w:p w14:paraId="6B200A3E">
                  <w:pPr>
                    <w:jc w:val="center"/>
                    <w:rPr>
                      <w:rFonts w:hint="eastAsia"/>
                      <w:color w:val="auto"/>
                      <w:szCs w:val="21"/>
                    </w:rPr>
                  </w:pPr>
                  <w:r>
                    <w:rPr>
                      <w:rFonts w:hint="eastAsia"/>
                      <w:color w:val="auto"/>
                      <w:szCs w:val="21"/>
                    </w:rPr>
                    <w:t>1F，建筑面积为16m</w:t>
                  </w:r>
                  <w:r>
                    <w:rPr>
                      <w:rFonts w:hint="eastAsia"/>
                      <w:color w:val="auto"/>
                      <w:szCs w:val="21"/>
                      <w:vertAlign w:val="superscript"/>
                    </w:rPr>
                    <w:t>2</w:t>
                  </w:r>
                </w:p>
              </w:tc>
              <w:tc>
                <w:tcPr>
                  <w:tcW w:w="855" w:type="pct"/>
                  <w:vAlign w:val="center"/>
                </w:tcPr>
                <w:p w14:paraId="6432921A">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无</w:t>
                  </w:r>
                </w:p>
              </w:tc>
            </w:tr>
            <w:tr w14:paraId="427E00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318" w:type="pct"/>
                  <w:vMerge w:val="continue"/>
                  <w:vAlign w:val="center"/>
                </w:tcPr>
                <w:p w14:paraId="6B6F574B">
                  <w:pPr>
                    <w:jc w:val="center"/>
                    <w:rPr>
                      <w:rFonts w:hint="eastAsia"/>
                      <w:bCs/>
                      <w:color w:val="auto"/>
                      <w:sz w:val="21"/>
                      <w:szCs w:val="21"/>
                      <w:highlight w:val="none"/>
                      <w:lang w:val="en-US" w:eastAsia="zh-CN"/>
                    </w:rPr>
                  </w:pPr>
                </w:p>
              </w:tc>
              <w:tc>
                <w:tcPr>
                  <w:tcW w:w="573" w:type="pct"/>
                  <w:vAlign w:val="center"/>
                </w:tcPr>
                <w:p w14:paraId="30DD0E70">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食堂</w:t>
                  </w:r>
                </w:p>
              </w:tc>
              <w:tc>
                <w:tcPr>
                  <w:tcW w:w="1646" w:type="pct"/>
                  <w:vAlign w:val="center"/>
                </w:tcPr>
                <w:p w14:paraId="0983DD2A">
                  <w:pPr>
                    <w:jc w:val="center"/>
                    <w:rPr>
                      <w:rFonts w:hint="eastAsia"/>
                      <w:color w:val="auto"/>
                      <w:szCs w:val="21"/>
                    </w:rPr>
                  </w:pPr>
                  <w:r>
                    <w:rPr>
                      <w:rFonts w:hint="eastAsia"/>
                      <w:color w:val="auto"/>
                      <w:szCs w:val="21"/>
                    </w:rPr>
                    <w:t>位于钢结构厂房东南角</w:t>
                  </w:r>
                </w:p>
              </w:tc>
              <w:tc>
                <w:tcPr>
                  <w:tcW w:w="1606" w:type="pct"/>
                  <w:vAlign w:val="center"/>
                </w:tcPr>
                <w:p w14:paraId="0F934DD5">
                  <w:pPr>
                    <w:jc w:val="center"/>
                    <w:rPr>
                      <w:rFonts w:hint="eastAsia" w:eastAsia="宋体"/>
                      <w:color w:val="auto"/>
                      <w:szCs w:val="21"/>
                      <w:lang w:eastAsia="zh-CN"/>
                    </w:rPr>
                  </w:pPr>
                  <w:r>
                    <w:rPr>
                      <w:rFonts w:hint="eastAsia"/>
                      <w:color w:val="auto"/>
                      <w:szCs w:val="21"/>
                      <w:lang w:eastAsia="zh-CN"/>
                    </w:rPr>
                    <w:t>无</w:t>
                  </w:r>
                </w:p>
              </w:tc>
              <w:tc>
                <w:tcPr>
                  <w:tcW w:w="855" w:type="pct"/>
                  <w:vAlign w:val="center"/>
                </w:tcPr>
                <w:p w14:paraId="35F3C9B2">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一期不建设</w:t>
                  </w:r>
                </w:p>
              </w:tc>
            </w:tr>
            <w:tr w14:paraId="1E855D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vMerge w:val="restart"/>
                  <w:vAlign w:val="center"/>
                </w:tcPr>
                <w:p w14:paraId="3B5FD5E1">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公用</w:t>
                  </w:r>
                </w:p>
                <w:p w14:paraId="3B0A88F4">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工程</w:t>
                  </w:r>
                </w:p>
              </w:tc>
              <w:tc>
                <w:tcPr>
                  <w:tcW w:w="573" w:type="pct"/>
                  <w:vAlign w:val="center"/>
                </w:tcPr>
                <w:p w14:paraId="649E5D57">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给水</w:t>
                  </w:r>
                </w:p>
              </w:tc>
              <w:tc>
                <w:tcPr>
                  <w:tcW w:w="1646" w:type="pct"/>
                  <w:vAlign w:val="center"/>
                </w:tcPr>
                <w:p w14:paraId="598456F6">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市政供水</w:t>
                  </w:r>
                </w:p>
              </w:tc>
              <w:tc>
                <w:tcPr>
                  <w:tcW w:w="1606" w:type="pct"/>
                  <w:vAlign w:val="center"/>
                </w:tcPr>
                <w:p w14:paraId="0EAEBB47">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市政供水</w:t>
                  </w:r>
                </w:p>
              </w:tc>
              <w:tc>
                <w:tcPr>
                  <w:tcW w:w="855" w:type="pct"/>
                  <w:vAlign w:val="center"/>
                </w:tcPr>
                <w:p w14:paraId="54E5C50E">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无</w:t>
                  </w:r>
                </w:p>
              </w:tc>
            </w:tr>
            <w:tr w14:paraId="071FFD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vMerge w:val="continue"/>
                  <w:vAlign w:val="center"/>
                </w:tcPr>
                <w:p w14:paraId="0B456A75">
                  <w:pPr>
                    <w:jc w:val="center"/>
                    <w:rPr>
                      <w:rFonts w:hint="eastAsia"/>
                      <w:bCs/>
                      <w:color w:val="auto"/>
                      <w:sz w:val="21"/>
                      <w:szCs w:val="21"/>
                      <w:highlight w:val="none"/>
                      <w:lang w:val="en-US" w:eastAsia="zh-CN"/>
                    </w:rPr>
                  </w:pPr>
                </w:p>
              </w:tc>
              <w:tc>
                <w:tcPr>
                  <w:tcW w:w="573" w:type="pct"/>
                  <w:vAlign w:val="center"/>
                </w:tcPr>
                <w:p w14:paraId="7BF53041">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排水</w:t>
                  </w:r>
                </w:p>
              </w:tc>
              <w:tc>
                <w:tcPr>
                  <w:tcW w:w="1646" w:type="pct"/>
                  <w:vAlign w:val="center"/>
                </w:tcPr>
                <w:p w14:paraId="514D2F69">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排水采取雨污分流制，雨水经排入雨水管网；水压测试用水、水冷定形用水循环使用不外排；食堂废水经隔油池处理后与其他生活污水一并经化粪池处理后通过园区污水管网入武阳创业园污水处理厂深度处理，武阳创业园污水处理厂处理达标后尾水排入清丰山溪。</w:t>
                  </w:r>
                </w:p>
              </w:tc>
              <w:tc>
                <w:tcPr>
                  <w:tcW w:w="1606" w:type="pct"/>
                  <w:vAlign w:val="center"/>
                </w:tcPr>
                <w:p w14:paraId="2640BC1B">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排水采取雨污分流制，雨水经排入雨水管网；水压测试用水、水冷定形用水循环使用不外排；生活污水经化粪池处理后通过园区污水管网入武阳创业园污水处理厂深度处理，武阳创业园污水处理厂处理达标后尾水排入清丰山溪。</w:t>
                  </w:r>
                </w:p>
              </w:tc>
              <w:tc>
                <w:tcPr>
                  <w:tcW w:w="855" w:type="pct"/>
                  <w:vAlign w:val="center"/>
                </w:tcPr>
                <w:p w14:paraId="348D5C3B">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一期不涉及食堂废水</w:t>
                  </w:r>
                </w:p>
              </w:tc>
            </w:tr>
            <w:tr w14:paraId="74FD25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vMerge w:val="continue"/>
                  <w:vAlign w:val="center"/>
                </w:tcPr>
                <w:p w14:paraId="0AC604F9">
                  <w:pPr>
                    <w:jc w:val="center"/>
                    <w:rPr>
                      <w:rFonts w:hint="eastAsia"/>
                      <w:bCs/>
                      <w:color w:val="auto"/>
                      <w:sz w:val="21"/>
                      <w:szCs w:val="21"/>
                      <w:highlight w:val="none"/>
                      <w:lang w:val="en-US" w:eastAsia="zh-CN"/>
                    </w:rPr>
                  </w:pPr>
                </w:p>
              </w:tc>
              <w:tc>
                <w:tcPr>
                  <w:tcW w:w="573" w:type="pct"/>
                  <w:vAlign w:val="center"/>
                </w:tcPr>
                <w:p w14:paraId="3BF5C634">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供电</w:t>
                  </w:r>
                </w:p>
              </w:tc>
              <w:tc>
                <w:tcPr>
                  <w:tcW w:w="1646" w:type="pct"/>
                  <w:vAlign w:val="center"/>
                </w:tcPr>
                <w:p w14:paraId="492E41B1">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市政供电</w:t>
                  </w:r>
                </w:p>
              </w:tc>
              <w:tc>
                <w:tcPr>
                  <w:tcW w:w="1606" w:type="pct"/>
                  <w:vAlign w:val="center"/>
                </w:tcPr>
                <w:p w14:paraId="344D6EAE">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市政供电</w:t>
                  </w:r>
                </w:p>
              </w:tc>
              <w:tc>
                <w:tcPr>
                  <w:tcW w:w="855" w:type="pct"/>
                  <w:vAlign w:val="center"/>
                </w:tcPr>
                <w:p w14:paraId="4A364432">
                  <w:pPr>
                    <w:jc w:val="center"/>
                    <w:rPr>
                      <w:rFonts w:hint="eastAsia"/>
                      <w:bCs/>
                      <w:color w:val="auto"/>
                      <w:sz w:val="21"/>
                      <w:szCs w:val="21"/>
                      <w:highlight w:val="none"/>
                      <w:lang w:val="en-US" w:eastAsia="zh-CN"/>
                    </w:rPr>
                  </w:pPr>
                  <w:r>
                    <w:rPr>
                      <w:rFonts w:hint="eastAsia"/>
                      <w:bCs/>
                      <w:color w:val="auto"/>
                      <w:sz w:val="21"/>
                      <w:szCs w:val="21"/>
                      <w:highlight w:val="none"/>
                      <w:lang w:val="en-US" w:eastAsia="zh-CN"/>
                    </w:rPr>
                    <w:t>无</w:t>
                  </w:r>
                </w:p>
              </w:tc>
            </w:tr>
            <w:tr w14:paraId="53B91D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8" w:type="pct"/>
                  <w:vMerge w:val="restart"/>
                  <w:vAlign w:val="center"/>
                </w:tcPr>
                <w:p w14:paraId="27829953">
                  <w:pPr>
                    <w:jc w:val="center"/>
                    <w:rPr>
                      <w:rFonts w:hint="eastAsia"/>
                      <w:color w:val="auto"/>
                      <w:highlight w:val="none"/>
                      <w:lang w:eastAsia="zh-CN"/>
                    </w:rPr>
                  </w:pPr>
                  <w:r>
                    <w:rPr>
                      <w:rFonts w:hint="eastAsia"/>
                      <w:color w:val="auto"/>
                      <w:highlight w:val="none"/>
                      <w:lang w:eastAsia="zh-CN"/>
                    </w:rPr>
                    <w:t>环保</w:t>
                  </w:r>
                </w:p>
                <w:p w14:paraId="1481BF1D">
                  <w:pPr>
                    <w:jc w:val="center"/>
                    <w:rPr>
                      <w:rFonts w:hint="eastAsia"/>
                      <w:color w:val="auto"/>
                      <w:highlight w:val="none"/>
                      <w:lang w:eastAsia="zh-CN"/>
                    </w:rPr>
                  </w:pPr>
                  <w:r>
                    <w:rPr>
                      <w:rFonts w:hint="eastAsia"/>
                      <w:color w:val="auto"/>
                      <w:highlight w:val="none"/>
                      <w:lang w:eastAsia="zh-CN"/>
                    </w:rPr>
                    <w:t>工程</w:t>
                  </w:r>
                </w:p>
              </w:tc>
              <w:tc>
                <w:tcPr>
                  <w:tcW w:w="573" w:type="pct"/>
                  <w:vMerge w:val="restart"/>
                  <w:vAlign w:val="center"/>
                </w:tcPr>
                <w:p w14:paraId="25A20F13">
                  <w:pPr>
                    <w:jc w:val="center"/>
                    <w:rPr>
                      <w:rFonts w:hint="eastAsia"/>
                      <w:color w:val="auto"/>
                      <w:highlight w:val="none"/>
                      <w:lang w:eastAsia="zh-CN"/>
                    </w:rPr>
                  </w:pPr>
                  <w:r>
                    <w:rPr>
                      <w:rFonts w:hint="eastAsia"/>
                      <w:color w:val="auto"/>
                      <w:highlight w:val="none"/>
                      <w:lang w:eastAsia="zh-CN"/>
                    </w:rPr>
                    <w:t>废气</w:t>
                  </w:r>
                </w:p>
              </w:tc>
              <w:tc>
                <w:tcPr>
                  <w:tcW w:w="1646" w:type="pct"/>
                  <w:vAlign w:val="center"/>
                </w:tcPr>
                <w:p w14:paraId="3ED136A2">
                  <w:pPr>
                    <w:jc w:val="center"/>
                    <w:rPr>
                      <w:rFonts w:hint="default"/>
                      <w:color w:val="auto"/>
                      <w:highlight w:val="none"/>
                      <w:lang w:eastAsia="zh-CN"/>
                    </w:rPr>
                  </w:pPr>
                  <w:r>
                    <w:rPr>
                      <w:rFonts w:hint="eastAsia"/>
                      <w:color w:val="auto"/>
                      <w:highlight w:val="none"/>
                      <w:lang w:eastAsia="zh-CN"/>
                    </w:rPr>
                    <w:t>圆盘剪铣边、飞剪、平头倒棱金属粉尘采用</w:t>
                  </w:r>
                  <w:r>
                    <w:rPr>
                      <w:rFonts w:hint="default"/>
                      <w:color w:val="auto"/>
                      <w:highlight w:val="none"/>
                      <w:lang w:eastAsia="zh-CN"/>
                    </w:rPr>
                    <w:t>防尘挡板、自然沉降</w:t>
                  </w:r>
                </w:p>
              </w:tc>
              <w:tc>
                <w:tcPr>
                  <w:tcW w:w="1606" w:type="pct"/>
                  <w:vAlign w:val="center"/>
                </w:tcPr>
                <w:p w14:paraId="1C92CE91">
                  <w:pPr>
                    <w:jc w:val="center"/>
                    <w:rPr>
                      <w:rFonts w:hint="default"/>
                      <w:color w:val="auto"/>
                      <w:highlight w:val="none"/>
                      <w:lang w:val="en-US" w:eastAsia="zh-CN"/>
                    </w:rPr>
                  </w:pPr>
                  <w:r>
                    <w:rPr>
                      <w:rFonts w:hint="eastAsia"/>
                      <w:color w:val="auto"/>
                      <w:highlight w:val="none"/>
                      <w:lang w:eastAsia="zh-CN"/>
                    </w:rPr>
                    <w:t>圆盘剪铣边、飞剪、平头倒棱金属粉尘采用</w:t>
                  </w:r>
                  <w:r>
                    <w:rPr>
                      <w:rFonts w:hint="default"/>
                      <w:color w:val="auto"/>
                      <w:highlight w:val="none"/>
                      <w:lang w:eastAsia="zh-CN"/>
                    </w:rPr>
                    <w:t>防尘挡板、自然沉降</w:t>
                  </w:r>
                </w:p>
              </w:tc>
              <w:tc>
                <w:tcPr>
                  <w:tcW w:w="855" w:type="pct"/>
                  <w:vMerge w:val="restart"/>
                  <w:vAlign w:val="center"/>
                </w:tcPr>
                <w:p w14:paraId="71A02AD0">
                  <w:pPr>
                    <w:jc w:val="center"/>
                    <w:rPr>
                      <w:rFonts w:hint="eastAsia"/>
                      <w:color w:val="auto"/>
                      <w:highlight w:val="none"/>
                      <w:lang w:eastAsia="zh-CN"/>
                    </w:rPr>
                  </w:pPr>
                  <w:r>
                    <w:rPr>
                      <w:rFonts w:hint="eastAsia"/>
                      <w:color w:val="auto"/>
                      <w:highlight w:val="none"/>
                      <w:lang w:eastAsia="zh-CN"/>
                    </w:rPr>
                    <w:t>无</w:t>
                  </w:r>
                </w:p>
              </w:tc>
            </w:tr>
            <w:tr w14:paraId="1519EE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8" w:type="pct"/>
                  <w:vMerge w:val="continue"/>
                  <w:vAlign w:val="center"/>
                </w:tcPr>
                <w:p w14:paraId="418A6E62">
                  <w:pPr>
                    <w:jc w:val="center"/>
                    <w:rPr>
                      <w:color w:val="auto"/>
                    </w:rPr>
                  </w:pPr>
                </w:p>
              </w:tc>
              <w:tc>
                <w:tcPr>
                  <w:tcW w:w="573" w:type="pct"/>
                  <w:vMerge w:val="continue"/>
                  <w:vAlign w:val="center"/>
                </w:tcPr>
                <w:p w14:paraId="71C9E016">
                  <w:pPr>
                    <w:jc w:val="center"/>
                    <w:rPr>
                      <w:rFonts w:hint="eastAsia"/>
                      <w:color w:val="auto"/>
                      <w:highlight w:val="none"/>
                      <w:lang w:eastAsia="zh-CN"/>
                    </w:rPr>
                  </w:pPr>
                </w:p>
              </w:tc>
              <w:tc>
                <w:tcPr>
                  <w:tcW w:w="1646" w:type="pct"/>
                  <w:vAlign w:val="center"/>
                </w:tcPr>
                <w:p w14:paraId="6A1ABD19">
                  <w:pPr>
                    <w:jc w:val="center"/>
                    <w:rPr>
                      <w:rFonts w:hint="eastAsia"/>
                      <w:color w:val="auto"/>
                      <w:highlight w:val="none"/>
                      <w:lang w:eastAsia="zh-CN"/>
                    </w:rPr>
                  </w:pPr>
                  <w:r>
                    <w:rPr>
                      <w:rFonts w:hint="eastAsia"/>
                      <w:color w:val="auto"/>
                      <w:highlight w:val="none"/>
                      <w:lang w:eastAsia="zh-CN"/>
                    </w:rPr>
                    <w:t>焊接烟尘经布袋除尘器（TA001）+1根15m排气筒（DA001）排放</w:t>
                  </w:r>
                </w:p>
              </w:tc>
              <w:tc>
                <w:tcPr>
                  <w:tcW w:w="1606" w:type="pct"/>
                  <w:vAlign w:val="center"/>
                </w:tcPr>
                <w:p w14:paraId="7C23513C">
                  <w:pPr>
                    <w:jc w:val="center"/>
                    <w:rPr>
                      <w:rFonts w:hint="eastAsia"/>
                      <w:color w:val="auto"/>
                      <w:highlight w:val="none"/>
                      <w:lang w:eastAsia="zh-CN"/>
                    </w:rPr>
                  </w:pPr>
                  <w:r>
                    <w:rPr>
                      <w:rFonts w:hint="eastAsia"/>
                      <w:color w:val="auto"/>
                      <w:highlight w:val="none"/>
                      <w:lang w:eastAsia="zh-CN"/>
                    </w:rPr>
                    <w:t>焊接烟尘经布袋除尘器（TA001）+1根20m排气筒（DA001）排放</w:t>
                  </w:r>
                </w:p>
              </w:tc>
              <w:tc>
                <w:tcPr>
                  <w:tcW w:w="855" w:type="pct"/>
                  <w:vMerge w:val="continue"/>
                  <w:vAlign w:val="center"/>
                </w:tcPr>
                <w:p w14:paraId="1F1149C3">
                  <w:pPr>
                    <w:jc w:val="center"/>
                    <w:rPr>
                      <w:rFonts w:hint="eastAsia"/>
                      <w:color w:val="auto"/>
                      <w:highlight w:val="none"/>
                      <w:lang w:eastAsia="zh-CN"/>
                    </w:rPr>
                  </w:pPr>
                </w:p>
              </w:tc>
            </w:tr>
            <w:tr w14:paraId="552139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8" w:type="pct"/>
                  <w:vMerge w:val="continue"/>
                  <w:vAlign w:val="center"/>
                </w:tcPr>
                <w:p w14:paraId="493F3C59">
                  <w:pPr>
                    <w:jc w:val="center"/>
                    <w:rPr>
                      <w:rFonts w:hint="eastAsia"/>
                      <w:color w:val="auto"/>
                      <w:highlight w:val="none"/>
                      <w:lang w:eastAsia="zh-CN"/>
                    </w:rPr>
                  </w:pPr>
                </w:p>
              </w:tc>
              <w:tc>
                <w:tcPr>
                  <w:tcW w:w="573" w:type="pct"/>
                  <w:vMerge w:val="continue"/>
                  <w:vAlign w:val="center"/>
                </w:tcPr>
                <w:p w14:paraId="5E583E0C">
                  <w:pPr>
                    <w:jc w:val="center"/>
                    <w:rPr>
                      <w:rFonts w:hint="eastAsia"/>
                      <w:color w:val="auto"/>
                      <w:highlight w:val="none"/>
                      <w:lang w:eastAsia="zh-CN"/>
                    </w:rPr>
                  </w:pPr>
                </w:p>
              </w:tc>
              <w:tc>
                <w:tcPr>
                  <w:tcW w:w="1646" w:type="pct"/>
                  <w:vAlign w:val="center"/>
                </w:tcPr>
                <w:p w14:paraId="1438A589">
                  <w:pPr>
                    <w:jc w:val="center"/>
                    <w:rPr>
                      <w:rFonts w:hint="eastAsia"/>
                      <w:color w:val="auto"/>
                      <w:highlight w:val="none"/>
                      <w:lang w:eastAsia="zh-CN"/>
                    </w:rPr>
                  </w:pPr>
                  <w:r>
                    <w:rPr>
                      <w:rFonts w:hint="eastAsia"/>
                      <w:color w:val="auto"/>
                      <w:highlight w:val="none"/>
                      <w:lang w:eastAsia="zh-CN"/>
                    </w:rPr>
                    <w:t>抛丸粉尘经设备自带布袋除尘器（TA002）+1根15m排气筒（DA002）排放</w:t>
                  </w:r>
                </w:p>
              </w:tc>
              <w:tc>
                <w:tcPr>
                  <w:tcW w:w="1606" w:type="pct"/>
                  <w:vAlign w:val="center"/>
                </w:tcPr>
                <w:p w14:paraId="4FF56592">
                  <w:pPr>
                    <w:jc w:val="center"/>
                    <w:rPr>
                      <w:rFonts w:hint="eastAsia"/>
                      <w:color w:val="auto"/>
                      <w:highlight w:val="none"/>
                      <w:lang w:eastAsia="zh-CN"/>
                    </w:rPr>
                  </w:pPr>
                  <w:r>
                    <w:rPr>
                      <w:rFonts w:hint="eastAsia"/>
                      <w:color w:val="auto"/>
                      <w:highlight w:val="none"/>
                      <w:lang w:eastAsia="zh-CN"/>
                    </w:rPr>
                    <w:t>抛丸粉尘经设备自带布袋除尘器（TA002）+1根20m排气筒（DA002）排放</w:t>
                  </w:r>
                </w:p>
              </w:tc>
              <w:tc>
                <w:tcPr>
                  <w:tcW w:w="855" w:type="pct"/>
                  <w:vMerge w:val="continue"/>
                  <w:vAlign w:val="center"/>
                </w:tcPr>
                <w:p w14:paraId="5D2FD8E7">
                  <w:pPr>
                    <w:jc w:val="center"/>
                    <w:rPr>
                      <w:rFonts w:hint="eastAsia"/>
                      <w:color w:val="auto"/>
                      <w:highlight w:val="none"/>
                      <w:lang w:eastAsia="zh-CN"/>
                    </w:rPr>
                  </w:pPr>
                </w:p>
              </w:tc>
            </w:tr>
            <w:tr w14:paraId="50D410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8" w:type="pct"/>
                  <w:vMerge w:val="continue"/>
                  <w:vAlign w:val="center"/>
                </w:tcPr>
                <w:p w14:paraId="3F64B4B0">
                  <w:pPr>
                    <w:jc w:val="center"/>
                    <w:rPr>
                      <w:rFonts w:hint="eastAsia"/>
                      <w:color w:val="auto"/>
                      <w:highlight w:val="none"/>
                      <w:lang w:eastAsia="zh-CN"/>
                    </w:rPr>
                  </w:pPr>
                </w:p>
              </w:tc>
              <w:tc>
                <w:tcPr>
                  <w:tcW w:w="573" w:type="pct"/>
                  <w:vMerge w:val="continue"/>
                  <w:vAlign w:val="center"/>
                </w:tcPr>
                <w:p w14:paraId="306B00C3">
                  <w:pPr>
                    <w:jc w:val="center"/>
                    <w:rPr>
                      <w:rFonts w:hint="eastAsia"/>
                      <w:color w:val="auto"/>
                      <w:highlight w:val="none"/>
                      <w:lang w:eastAsia="zh-CN"/>
                    </w:rPr>
                  </w:pPr>
                </w:p>
              </w:tc>
              <w:tc>
                <w:tcPr>
                  <w:tcW w:w="1646" w:type="pct"/>
                  <w:vAlign w:val="center"/>
                </w:tcPr>
                <w:p w14:paraId="085F058C">
                  <w:pPr>
                    <w:jc w:val="center"/>
                    <w:rPr>
                      <w:rFonts w:hint="eastAsia"/>
                      <w:color w:val="auto"/>
                      <w:highlight w:val="none"/>
                      <w:lang w:eastAsia="zh-CN"/>
                    </w:rPr>
                  </w:pPr>
                  <w:r>
                    <w:rPr>
                      <w:rFonts w:hint="eastAsia"/>
                      <w:color w:val="auto"/>
                      <w:highlight w:val="none"/>
                      <w:lang w:eastAsia="zh-CN"/>
                    </w:rPr>
                    <w:t>喷塑废气及胶带、PE带缠绕有机废气经布袋除尘器（TA003）去除喷塑粉尘后与胶带、PE带缠绕有机废气并引入1套二级活性炭吸附装置（TA004）+1根15m高排气筒（DA003）排放</w:t>
                  </w:r>
                </w:p>
              </w:tc>
              <w:tc>
                <w:tcPr>
                  <w:tcW w:w="1606" w:type="pct"/>
                  <w:vAlign w:val="center"/>
                </w:tcPr>
                <w:p w14:paraId="525D1E78">
                  <w:pPr>
                    <w:jc w:val="center"/>
                    <w:rPr>
                      <w:rFonts w:hint="eastAsia"/>
                      <w:color w:val="auto"/>
                      <w:highlight w:val="none"/>
                      <w:lang w:eastAsia="zh-CN"/>
                    </w:rPr>
                  </w:pPr>
                  <w:r>
                    <w:rPr>
                      <w:rFonts w:hint="eastAsia"/>
                      <w:color w:val="auto"/>
                      <w:highlight w:val="none"/>
                      <w:lang w:eastAsia="zh-CN"/>
                    </w:rPr>
                    <w:t>喷塑废气及胶带、PE带缠绕有机废气经布袋除尘器（TA003）去除喷塑粉尘后与胶带、PE带缠绕有机废气并引入1套二级活性炭吸附装置（TA004）+1根20m高排气筒（DA003）排放</w:t>
                  </w:r>
                </w:p>
              </w:tc>
              <w:tc>
                <w:tcPr>
                  <w:tcW w:w="855" w:type="pct"/>
                  <w:vMerge w:val="continue"/>
                  <w:vAlign w:val="center"/>
                </w:tcPr>
                <w:p w14:paraId="6E63EECD">
                  <w:pPr>
                    <w:jc w:val="center"/>
                    <w:rPr>
                      <w:rFonts w:hint="eastAsia"/>
                      <w:color w:val="auto"/>
                      <w:highlight w:val="none"/>
                      <w:lang w:eastAsia="zh-CN"/>
                    </w:rPr>
                  </w:pPr>
                </w:p>
              </w:tc>
            </w:tr>
            <w:tr w14:paraId="009D2F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8" w:type="pct"/>
                  <w:vMerge w:val="continue"/>
                  <w:vAlign w:val="center"/>
                </w:tcPr>
                <w:p w14:paraId="31B0F78E">
                  <w:pPr>
                    <w:jc w:val="center"/>
                    <w:rPr>
                      <w:rFonts w:hint="eastAsia"/>
                      <w:color w:val="auto"/>
                      <w:highlight w:val="none"/>
                      <w:lang w:eastAsia="zh-CN"/>
                    </w:rPr>
                  </w:pPr>
                </w:p>
              </w:tc>
              <w:tc>
                <w:tcPr>
                  <w:tcW w:w="573" w:type="pct"/>
                  <w:vMerge w:val="continue"/>
                  <w:vAlign w:val="center"/>
                </w:tcPr>
                <w:p w14:paraId="17A3F8DF">
                  <w:pPr>
                    <w:jc w:val="center"/>
                    <w:rPr>
                      <w:rFonts w:hint="eastAsia"/>
                      <w:color w:val="auto"/>
                      <w:highlight w:val="none"/>
                      <w:lang w:eastAsia="zh-CN"/>
                    </w:rPr>
                  </w:pPr>
                </w:p>
              </w:tc>
              <w:tc>
                <w:tcPr>
                  <w:tcW w:w="1646" w:type="pct"/>
                  <w:vAlign w:val="center"/>
                </w:tcPr>
                <w:p w14:paraId="1FB86184">
                  <w:pPr>
                    <w:jc w:val="center"/>
                    <w:rPr>
                      <w:rFonts w:hint="eastAsia"/>
                      <w:color w:val="auto"/>
                      <w:highlight w:val="none"/>
                      <w:lang w:eastAsia="zh-CN"/>
                    </w:rPr>
                  </w:pPr>
                  <w:r>
                    <w:rPr>
                      <w:rFonts w:hint="eastAsia"/>
                      <w:color w:val="auto"/>
                      <w:highlight w:val="none"/>
                      <w:lang w:eastAsia="zh-CN"/>
                    </w:rPr>
                    <w:t>调漆、喷漆、晾干废气经经干式过滤器去除漆雾后再导入套活性炭吸附（含双层过滤棉）+脱附+催化燃烧装置（TA005）+1根15m高排气筒（DA004）排放</w:t>
                  </w:r>
                </w:p>
              </w:tc>
              <w:tc>
                <w:tcPr>
                  <w:tcW w:w="1606" w:type="pct"/>
                  <w:vAlign w:val="center"/>
                </w:tcPr>
                <w:p w14:paraId="3C51ED32">
                  <w:pPr>
                    <w:jc w:val="center"/>
                    <w:rPr>
                      <w:rFonts w:hint="eastAsia"/>
                      <w:color w:val="auto"/>
                      <w:highlight w:val="none"/>
                      <w:lang w:eastAsia="zh-CN"/>
                    </w:rPr>
                  </w:pPr>
                  <w:r>
                    <w:rPr>
                      <w:rFonts w:hint="eastAsia"/>
                      <w:color w:val="auto"/>
                      <w:highlight w:val="none"/>
                      <w:lang w:eastAsia="zh-CN"/>
                    </w:rPr>
                    <w:t>无</w:t>
                  </w:r>
                </w:p>
              </w:tc>
              <w:tc>
                <w:tcPr>
                  <w:tcW w:w="855" w:type="pct"/>
                  <w:vAlign w:val="center"/>
                </w:tcPr>
                <w:p w14:paraId="07554CC6">
                  <w:pPr>
                    <w:jc w:val="center"/>
                    <w:rPr>
                      <w:rFonts w:hint="eastAsia"/>
                      <w:color w:val="auto"/>
                      <w:highlight w:val="none"/>
                      <w:lang w:eastAsia="zh-CN"/>
                    </w:rPr>
                  </w:pPr>
                  <w:r>
                    <w:rPr>
                      <w:rFonts w:hint="eastAsia"/>
                      <w:color w:val="auto"/>
                      <w:highlight w:val="none"/>
                      <w:lang w:eastAsia="zh-CN"/>
                    </w:rPr>
                    <w:t>一期不建设调漆、喷漆、晾干工序，不设置调漆、喷漆、晾干废气处理设施</w:t>
                  </w:r>
                </w:p>
              </w:tc>
            </w:tr>
            <w:tr w14:paraId="7EE8BA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8" w:type="pct"/>
                  <w:vMerge w:val="continue"/>
                  <w:vAlign w:val="center"/>
                </w:tcPr>
                <w:p w14:paraId="71BFCCA4">
                  <w:pPr>
                    <w:jc w:val="center"/>
                    <w:rPr>
                      <w:rFonts w:hint="eastAsia"/>
                      <w:color w:val="auto"/>
                      <w:highlight w:val="none"/>
                      <w:lang w:eastAsia="zh-CN"/>
                    </w:rPr>
                  </w:pPr>
                </w:p>
              </w:tc>
              <w:tc>
                <w:tcPr>
                  <w:tcW w:w="573" w:type="pct"/>
                  <w:vMerge w:val="continue"/>
                  <w:vAlign w:val="center"/>
                </w:tcPr>
                <w:p w14:paraId="2EAA36EF">
                  <w:pPr>
                    <w:jc w:val="center"/>
                    <w:rPr>
                      <w:rFonts w:hint="eastAsia"/>
                      <w:color w:val="auto"/>
                      <w:highlight w:val="none"/>
                      <w:lang w:eastAsia="zh-CN"/>
                    </w:rPr>
                  </w:pPr>
                </w:p>
              </w:tc>
              <w:tc>
                <w:tcPr>
                  <w:tcW w:w="1646" w:type="pct"/>
                  <w:vAlign w:val="center"/>
                </w:tcPr>
                <w:p w14:paraId="6F232770">
                  <w:pPr>
                    <w:jc w:val="center"/>
                    <w:rPr>
                      <w:rFonts w:hint="eastAsia"/>
                      <w:color w:val="auto"/>
                      <w:highlight w:val="none"/>
                      <w:lang w:eastAsia="zh-CN"/>
                    </w:rPr>
                  </w:pPr>
                  <w:r>
                    <w:rPr>
                      <w:rFonts w:hint="eastAsia"/>
                      <w:color w:val="auto"/>
                      <w:highlight w:val="none"/>
                      <w:lang w:eastAsia="zh-CN"/>
                    </w:rPr>
                    <w:t>食堂油烟经油烟净化器处理后，由专用烟道引至楼顶排放</w:t>
                  </w:r>
                </w:p>
              </w:tc>
              <w:tc>
                <w:tcPr>
                  <w:tcW w:w="1606" w:type="pct"/>
                  <w:vAlign w:val="center"/>
                </w:tcPr>
                <w:p w14:paraId="298B961F">
                  <w:pPr>
                    <w:jc w:val="center"/>
                    <w:rPr>
                      <w:rFonts w:hint="eastAsia"/>
                      <w:color w:val="auto"/>
                      <w:highlight w:val="none"/>
                      <w:lang w:eastAsia="zh-CN"/>
                    </w:rPr>
                  </w:pPr>
                  <w:r>
                    <w:rPr>
                      <w:rFonts w:hint="eastAsia"/>
                      <w:color w:val="auto"/>
                      <w:highlight w:val="none"/>
                      <w:lang w:eastAsia="zh-CN"/>
                    </w:rPr>
                    <w:t>无</w:t>
                  </w:r>
                </w:p>
                <w:p w14:paraId="0EBB99E1">
                  <w:pPr>
                    <w:rPr>
                      <w:color w:val="auto"/>
                    </w:rPr>
                  </w:pPr>
                </w:p>
              </w:tc>
              <w:tc>
                <w:tcPr>
                  <w:tcW w:w="855" w:type="pct"/>
                  <w:vAlign w:val="center"/>
                </w:tcPr>
                <w:p w14:paraId="4D0A5DE5">
                  <w:pPr>
                    <w:jc w:val="center"/>
                    <w:rPr>
                      <w:rFonts w:hint="eastAsia" w:eastAsia="宋体"/>
                      <w:color w:val="auto"/>
                      <w:highlight w:val="none"/>
                      <w:lang w:eastAsia="zh-CN"/>
                    </w:rPr>
                  </w:pPr>
                  <w:r>
                    <w:rPr>
                      <w:rFonts w:hint="eastAsia"/>
                      <w:color w:val="auto"/>
                      <w:lang w:eastAsia="zh-CN"/>
                    </w:rPr>
                    <w:t>一期未建设食堂</w:t>
                  </w:r>
                </w:p>
              </w:tc>
            </w:tr>
            <w:tr w14:paraId="56C92C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18" w:type="pct"/>
                  <w:vMerge w:val="continue"/>
                  <w:vAlign w:val="center"/>
                </w:tcPr>
                <w:p w14:paraId="5E30BC58">
                  <w:pPr>
                    <w:jc w:val="center"/>
                    <w:rPr>
                      <w:rFonts w:hint="eastAsia"/>
                      <w:color w:val="auto"/>
                      <w:highlight w:val="none"/>
                      <w:lang w:eastAsia="zh-CN"/>
                    </w:rPr>
                  </w:pPr>
                </w:p>
              </w:tc>
              <w:tc>
                <w:tcPr>
                  <w:tcW w:w="573" w:type="pct"/>
                  <w:vAlign w:val="center"/>
                </w:tcPr>
                <w:p w14:paraId="6CA23AC7">
                  <w:pPr>
                    <w:jc w:val="center"/>
                    <w:rPr>
                      <w:rFonts w:hint="default"/>
                      <w:color w:val="auto"/>
                      <w:highlight w:val="none"/>
                      <w:lang w:eastAsia="zh-CN"/>
                    </w:rPr>
                  </w:pPr>
                  <w:r>
                    <w:rPr>
                      <w:rFonts w:hint="eastAsia"/>
                      <w:color w:val="auto"/>
                      <w:highlight w:val="none"/>
                      <w:lang w:eastAsia="zh-CN"/>
                    </w:rPr>
                    <w:t>废水</w:t>
                  </w:r>
                </w:p>
              </w:tc>
              <w:tc>
                <w:tcPr>
                  <w:tcW w:w="1646" w:type="pct"/>
                  <w:vAlign w:val="center"/>
                </w:tcPr>
                <w:p w14:paraId="5400B00B">
                  <w:pPr>
                    <w:jc w:val="center"/>
                    <w:rPr>
                      <w:rFonts w:hint="default"/>
                      <w:color w:val="auto"/>
                      <w:highlight w:val="none"/>
                      <w:lang w:val="en-US" w:eastAsia="zh-CN"/>
                    </w:rPr>
                  </w:pPr>
                  <w:r>
                    <w:rPr>
                      <w:rFonts w:hint="default"/>
                      <w:color w:val="auto"/>
                      <w:highlight w:val="none"/>
                      <w:lang w:val="en-US" w:eastAsia="zh-CN"/>
                    </w:rPr>
                    <w:t>生活污水</w:t>
                  </w:r>
                  <w:r>
                    <w:rPr>
                      <w:rFonts w:hint="eastAsia"/>
                      <w:color w:val="auto"/>
                      <w:highlight w:val="none"/>
                      <w:lang w:val="en-US" w:eastAsia="zh-CN"/>
                    </w:rPr>
                    <w:t>经</w:t>
                  </w:r>
                  <w:r>
                    <w:rPr>
                      <w:rFonts w:hint="default"/>
                      <w:color w:val="auto"/>
                      <w:highlight w:val="none"/>
                      <w:lang w:val="en-US" w:eastAsia="zh-CN"/>
                    </w:rPr>
                    <w:t>隔油</w:t>
                  </w:r>
                  <w:r>
                    <w:rPr>
                      <w:rFonts w:hint="eastAsia"/>
                      <w:color w:val="auto"/>
                      <w:highlight w:val="none"/>
                      <w:lang w:val="en-US" w:eastAsia="zh-CN"/>
                    </w:rPr>
                    <w:t>池（</w:t>
                  </w:r>
                  <w:r>
                    <w:rPr>
                      <w:rFonts w:hint="default"/>
                      <w:color w:val="auto"/>
                      <w:highlight w:val="none"/>
                      <w:lang w:val="en-US" w:eastAsia="zh-CN"/>
                    </w:rPr>
                    <w:t>处理能力为10m</w:t>
                  </w:r>
                  <w:r>
                    <w:rPr>
                      <w:rFonts w:hint="default"/>
                      <w:color w:val="auto"/>
                      <w:highlight w:val="none"/>
                      <w:vertAlign w:val="superscript"/>
                      <w:lang w:val="en-US" w:eastAsia="zh-CN"/>
                    </w:rPr>
                    <w:t>3</w:t>
                  </w:r>
                  <w:r>
                    <w:rPr>
                      <w:rFonts w:hint="default"/>
                      <w:color w:val="auto"/>
                      <w:highlight w:val="none"/>
                      <w:lang w:val="en-US" w:eastAsia="zh-CN"/>
                    </w:rPr>
                    <w:t>/d</w:t>
                  </w:r>
                  <w:r>
                    <w:rPr>
                      <w:rFonts w:hint="eastAsia"/>
                      <w:color w:val="auto"/>
                      <w:highlight w:val="none"/>
                      <w:lang w:val="en-US" w:eastAsia="zh-CN"/>
                    </w:rPr>
                    <w:t>）+</w:t>
                  </w:r>
                  <w:r>
                    <w:rPr>
                      <w:rFonts w:hint="default"/>
                      <w:color w:val="auto"/>
                      <w:highlight w:val="none"/>
                      <w:lang w:val="en-US" w:eastAsia="zh-CN"/>
                    </w:rPr>
                    <w:t>化粪池</w:t>
                  </w:r>
                  <w:r>
                    <w:rPr>
                      <w:rFonts w:hint="eastAsia"/>
                      <w:color w:val="auto"/>
                      <w:highlight w:val="none"/>
                      <w:lang w:val="en-US" w:eastAsia="zh-CN"/>
                    </w:rPr>
                    <w:t>（</w:t>
                  </w:r>
                  <w:r>
                    <w:rPr>
                      <w:rFonts w:hint="default"/>
                      <w:color w:val="auto"/>
                      <w:highlight w:val="none"/>
                      <w:lang w:val="en-US" w:eastAsia="zh-CN"/>
                    </w:rPr>
                    <w:t>处理能力为20m</w:t>
                  </w:r>
                  <w:r>
                    <w:rPr>
                      <w:rFonts w:hint="default"/>
                      <w:color w:val="auto"/>
                      <w:highlight w:val="none"/>
                      <w:vertAlign w:val="superscript"/>
                      <w:lang w:val="en-US" w:eastAsia="zh-CN"/>
                    </w:rPr>
                    <w:t>3</w:t>
                  </w:r>
                  <w:r>
                    <w:rPr>
                      <w:rFonts w:hint="default"/>
                      <w:color w:val="auto"/>
                      <w:highlight w:val="none"/>
                      <w:lang w:val="en-US" w:eastAsia="zh-CN"/>
                    </w:rPr>
                    <w:t>/d</w:t>
                  </w:r>
                  <w:r>
                    <w:rPr>
                      <w:rFonts w:hint="eastAsia"/>
                      <w:color w:val="auto"/>
                      <w:highlight w:val="none"/>
                      <w:lang w:val="en-US" w:eastAsia="zh-CN"/>
                    </w:rPr>
                    <w:t>）处理后排入</w:t>
                  </w:r>
                  <w:r>
                    <w:rPr>
                      <w:rFonts w:hint="eastAsia"/>
                      <w:bCs/>
                      <w:color w:val="auto"/>
                      <w:sz w:val="21"/>
                      <w:szCs w:val="21"/>
                      <w:highlight w:val="none"/>
                      <w:lang w:val="en-US" w:eastAsia="zh-CN"/>
                    </w:rPr>
                    <w:t>武阳创业园污水处理厂深度处理</w:t>
                  </w:r>
                </w:p>
              </w:tc>
              <w:tc>
                <w:tcPr>
                  <w:tcW w:w="1606" w:type="pct"/>
                  <w:vAlign w:val="center"/>
                </w:tcPr>
                <w:p w14:paraId="0760F2F1">
                  <w:pPr>
                    <w:jc w:val="center"/>
                    <w:rPr>
                      <w:rFonts w:hint="default"/>
                      <w:color w:val="auto"/>
                      <w:highlight w:val="none"/>
                      <w:lang w:val="en-US" w:eastAsia="zh-CN"/>
                    </w:rPr>
                  </w:pPr>
                  <w:r>
                    <w:rPr>
                      <w:rFonts w:hint="default"/>
                      <w:color w:val="auto"/>
                      <w:highlight w:val="none"/>
                      <w:lang w:val="en-US" w:eastAsia="zh-CN"/>
                    </w:rPr>
                    <w:t>生活污水</w:t>
                  </w:r>
                  <w:r>
                    <w:rPr>
                      <w:rFonts w:hint="eastAsia"/>
                      <w:color w:val="auto"/>
                      <w:highlight w:val="none"/>
                      <w:lang w:val="en-US" w:eastAsia="zh-CN"/>
                    </w:rPr>
                    <w:t>+</w:t>
                  </w:r>
                  <w:r>
                    <w:rPr>
                      <w:rFonts w:hint="default"/>
                      <w:color w:val="auto"/>
                      <w:highlight w:val="none"/>
                      <w:lang w:val="en-US" w:eastAsia="zh-CN"/>
                    </w:rPr>
                    <w:t>化粪池</w:t>
                  </w:r>
                  <w:r>
                    <w:rPr>
                      <w:rFonts w:hint="eastAsia"/>
                      <w:color w:val="auto"/>
                      <w:highlight w:val="none"/>
                      <w:lang w:val="en-US" w:eastAsia="zh-CN"/>
                    </w:rPr>
                    <w:t>（</w:t>
                  </w:r>
                  <w:r>
                    <w:rPr>
                      <w:rFonts w:hint="default"/>
                      <w:color w:val="auto"/>
                      <w:highlight w:val="none"/>
                      <w:lang w:val="en-US" w:eastAsia="zh-CN"/>
                    </w:rPr>
                    <w:t>处理能力为20m</w:t>
                  </w:r>
                  <w:r>
                    <w:rPr>
                      <w:rFonts w:hint="default"/>
                      <w:color w:val="auto"/>
                      <w:highlight w:val="none"/>
                      <w:vertAlign w:val="superscript"/>
                      <w:lang w:val="en-US" w:eastAsia="zh-CN"/>
                    </w:rPr>
                    <w:t>3</w:t>
                  </w:r>
                  <w:r>
                    <w:rPr>
                      <w:rFonts w:hint="default"/>
                      <w:color w:val="auto"/>
                      <w:highlight w:val="none"/>
                      <w:lang w:val="en-US" w:eastAsia="zh-CN"/>
                    </w:rPr>
                    <w:t>/d</w:t>
                  </w:r>
                  <w:r>
                    <w:rPr>
                      <w:rFonts w:hint="eastAsia"/>
                      <w:color w:val="auto"/>
                      <w:highlight w:val="none"/>
                      <w:lang w:val="en-US" w:eastAsia="zh-CN"/>
                    </w:rPr>
                    <w:t>）处理后排入</w:t>
                  </w:r>
                  <w:r>
                    <w:rPr>
                      <w:rFonts w:hint="eastAsia"/>
                      <w:bCs/>
                      <w:color w:val="auto"/>
                      <w:sz w:val="21"/>
                      <w:szCs w:val="21"/>
                      <w:highlight w:val="none"/>
                      <w:lang w:val="en-US" w:eastAsia="zh-CN"/>
                    </w:rPr>
                    <w:t>武阳创业园污水处理厂深度处理</w:t>
                  </w:r>
                </w:p>
              </w:tc>
              <w:tc>
                <w:tcPr>
                  <w:tcW w:w="855" w:type="pct"/>
                  <w:vAlign w:val="center"/>
                </w:tcPr>
                <w:p w14:paraId="717C5A13">
                  <w:pPr>
                    <w:jc w:val="center"/>
                    <w:rPr>
                      <w:rFonts w:hint="eastAsia"/>
                      <w:color w:val="auto"/>
                      <w:highlight w:val="none"/>
                      <w:lang w:eastAsia="zh-CN"/>
                    </w:rPr>
                  </w:pPr>
                  <w:r>
                    <w:rPr>
                      <w:rFonts w:hint="eastAsia"/>
                      <w:color w:val="auto"/>
                      <w:highlight w:val="none"/>
                      <w:lang w:eastAsia="zh-CN"/>
                    </w:rPr>
                    <w:t>一期无食堂废水不建设隔油池</w:t>
                  </w:r>
                </w:p>
              </w:tc>
            </w:tr>
            <w:tr w14:paraId="7FDAE1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18" w:type="pct"/>
                  <w:vMerge w:val="continue"/>
                  <w:vAlign w:val="center"/>
                </w:tcPr>
                <w:p w14:paraId="0D07FC80">
                  <w:pPr>
                    <w:jc w:val="center"/>
                    <w:rPr>
                      <w:rFonts w:hint="eastAsia"/>
                      <w:color w:val="auto"/>
                      <w:highlight w:val="none"/>
                      <w:lang w:eastAsia="zh-CN"/>
                    </w:rPr>
                  </w:pPr>
                </w:p>
              </w:tc>
              <w:tc>
                <w:tcPr>
                  <w:tcW w:w="573" w:type="pct"/>
                  <w:vAlign w:val="center"/>
                </w:tcPr>
                <w:p w14:paraId="7E2E88A4">
                  <w:pPr>
                    <w:jc w:val="center"/>
                    <w:rPr>
                      <w:rFonts w:hint="eastAsia"/>
                      <w:color w:val="auto"/>
                      <w:highlight w:val="none"/>
                      <w:lang w:eastAsia="zh-CN"/>
                    </w:rPr>
                  </w:pPr>
                  <w:r>
                    <w:rPr>
                      <w:rFonts w:hint="eastAsia"/>
                      <w:color w:val="auto"/>
                      <w:highlight w:val="none"/>
                      <w:lang w:eastAsia="zh-CN"/>
                    </w:rPr>
                    <w:t>噪声</w:t>
                  </w:r>
                </w:p>
              </w:tc>
              <w:tc>
                <w:tcPr>
                  <w:tcW w:w="1646" w:type="pct"/>
                  <w:vAlign w:val="center"/>
                </w:tcPr>
                <w:p w14:paraId="3C45E7A5">
                  <w:pPr>
                    <w:widowControl/>
                    <w:jc w:val="center"/>
                    <w:rPr>
                      <w:rFonts w:hint="eastAsia"/>
                      <w:color w:val="auto"/>
                      <w:highlight w:val="none"/>
                      <w:lang w:eastAsia="zh-CN"/>
                    </w:rPr>
                  </w:pPr>
                  <w:r>
                    <w:rPr>
                      <w:rFonts w:hint="eastAsia"/>
                      <w:color w:val="auto"/>
                      <w:highlight w:val="none"/>
                      <w:lang w:eastAsia="zh-CN"/>
                    </w:rPr>
                    <w:t>低噪设备、减振降噪、墙壁隔声、厂界绿化等</w:t>
                  </w:r>
                </w:p>
              </w:tc>
              <w:tc>
                <w:tcPr>
                  <w:tcW w:w="1606" w:type="pct"/>
                  <w:vAlign w:val="center"/>
                </w:tcPr>
                <w:p w14:paraId="32416846">
                  <w:pPr>
                    <w:widowControl/>
                    <w:jc w:val="center"/>
                    <w:rPr>
                      <w:rFonts w:hint="eastAsia"/>
                      <w:color w:val="auto"/>
                      <w:highlight w:val="none"/>
                      <w:lang w:val="en-US" w:eastAsia="zh-CN"/>
                    </w:rPr>
                  </w:pPr>
                  <w:r>
                    <w:rPr>
                      <w:rFonts w:hint="eastAsia"/>
                      <w:color w:val="auto"/>
                    </w:rPr>
                    <w:t>低噪设备、减振降噪、墙壁隔声、厂界绿化等</w:t>
                  </w:r>
                </w:p>
              </w:tc>
              <w:tc>
                <w:tcPr>
                  <w:tcW w:w="855" w:type="pct"/>
                  <w:vAlign w:val="center"/>
                </w:tcPr>
                <w:p w14:paraId="1B38B619">
                  <w:pPr>
                    <w:jc w:val="center"/>
                    <w:rPr>
                      <w:rFonts w:hint="eastAsia"/>
                      <w:color w:val="auto"/>
                      <w:highlight w:val="none"/>
                      <w:lang w:eastAsia="zh-CN"/>
                    </w:rPr>
                  </w:pPr>
                  <w:r>
                    <w:rPr>
                      <w:rFonts w:hint="eastAsia"/>
                      <w:color w:val="auto"/>
                      <w:highlight w:val="none"/>
                      <w:lang w:eastAsia="zh-CN"/>
                    </w:rPr>
                    <w:t>无</w:t>
                  </w:r>
                </w:p>
              </w:tc>
            </w:tr>
            <w:tr w14:paraId="2DE438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318" w:type="pct"/>
                  <w:vMerge w:val="continue"/>
                  <w:vAlign w:val="center"/>
                </w:tcPr>
                <w:p w14:paraId="4B1491F2">
                  <w:pPr>
                    <w:jc w:val="center"/>
                    <w:rPr>
                      <w:rFonts w:hint="eastAsia"/>
                      <w:color w:val="auto"/>
                      <w:highlight w:val="none"/>
                      <w:lang w:eastAsia="zh-CN"/>
                    </w:rPr>
                  </w:pPr>
                </w:p>
              </w:tc>
              <w:tc>
                <w:tcPr>
                  <w:tcW w:w="573" w:type="pct"/>
                  <w:vMerge w:val="restart"/>
                  <w:vAlign w:val="center"/>
                </w:tcPr>
                <w:p w14:paraId="54CEE3C6">
                  <w:pPr>
                    <w:jc w:val="center"/>
                    <w:rPr>
                      <w:rFonts w:hint="eastAsia"/>
                      <w:color w:val="auto"/>
                      <w:highlight w:val="none"/>
                      <w:lang w:eastAsia="zh-CN"/>
                    </w:rPr>
                  </w:pPr>
                  <w:r>
                    <w:rPr>
                      <w:rFonts w:hint="eastAsia"/>
                      <w:color w:val="auto"/>
                      <w:highlight w:val="none"/>
                      <w:lang w:eastAsia="zh-CN"/>
                    </w:rPr>
                    <w:t>固体</w:t>
                  </w:r>
                </w:p>
                <w:p w14:paraId="087667C6">
                  <w:pPr>
                    <w:jc w:val="center"/>
                    <w:rPr>
                      <w:rFonts w:hint="eastAsia"/>
                      <w:color w:val="auto"/>
                      <w:highlight w:val="none"/>
                      <w:lang w:eastAsia="zh-CN"/>
                    </w:rPr>
                  </w:pPr>
                  <w:r>
                    <w:rPr>
                      <w:rFonts w:hint="eastAsia"/>
                      <w:color w:val="auto"/>
                      <w:highlight w:val="none"/>
                      <w:lang w:eastAsia="zh-CN"/>
                    </w:rPr>
                    <w:t>废物</w:t>
                  </w:r>
                </w:p>
              </w:tc>
              <w:tc>
                <w:tcPr>
                  <w:tcW w:w="1646" w:type="pct"/>
                  <w:vAlign w:val="center"/>
                </w:tcPr>
                <w:p w14:paraId="12DA0B85">
                  <w:pPr>
                    <w:widowControl/>
                    <w:jc w:val="center"/>
                    <w:rPr>
                      <w:rFonts w:hint="default"/>
                      <w:color w:val="auto"/>
                      <w:szCs w:val="21"/>
                      <w:highlight w:val="none"/>
                      <w:lang w:eastAsia="zh-CN"/>
                    </w:rPr>
                  </w:pPr>
                  <w:r>
                    <w:rPr>
                      <w:rFonts w:hint="eastAsia"/>
                      <w:color w:val="auto"/>
                      <w:szCs w:val="21"/>
                      <w:highlight w:val="none"/>
                      <w:lang w:eastAsia="zh-CN"/>
                    </w:rPr>
                    <w:t>垃圾桶</w:t>
                  </w:r>
                </w:p>
              </w:tc>
              <w:tc>
                <w:tcPr>
                  <w:tcW w:w="1606" w:type="pct"/>
                  <w:vAlign w:val="center"/>
                </w:tcPr>
                <w:p w14:paraId="79A392FD">
                  <w:pPr>
                    <w:widowControl/>
                    <w:jc w:val="center"/>
                    <w:rPr>
                      <w:rFonts w:hint="eastAsia"/>
                      <w:color w:val="auto"/>
                      <w:highlight w:val="none"/>
                      <w:lang w:val="en-US" w:eastAsia="zh-CN"/>
                    </w:rPr>
                  </w:pPr>
                  <w:r>
                    <w:rPr>
                      <w:rFonts w:hint="eastAsia"/>
                      <w:color w:val="auto"/>
                      <w:szCs w:val="21"/>
                      <w:highlight w:val="none"/>
                      <w:lang w:eastAsia="zh-CN"/>
                    </w:rPr>
                    <w:t>垃圾桶</w:t>
                  </w:r>
                </w:p>
              </w:tc>
              <w:tc>
                <w:tcPr>
                  <w:tcW w:w="855" w:type="pct"/>
                  <w:vMerge w:val="restart"/>
                  <w:vAlign w:val="center"/>
                </w:tcPr>
                <w:p w14:paraId="22000FB7">
                  <w:pPr>
                    <w:jc w:val="center"/>
                    <w:rPr>
                      <w:rFonts w:hint="default"/>
                      <w:color w:val="auto"/>
                      <w:highlight w:val="none"/>
                      <w:lang w:val="en-US" w:eastAsia="zh-CN"/>
                    </w:rPr>
                  </w:pPr>
                  <w:r>
                    <w:rPr>
                      <w:rFonts w:hint="eastAsia"/>
                      <w:color w:val="auto"/>
                      <w:highlight w:val="none"/>
                      <w:lang w:eastAsia="zh-CN"/>
                    </w:rPr>
                    <w:t>无</w:t>
                  </w:r>
                </w:p>
              </w:tc>
            </w:tr>
            <w:tr w14:paraId="3022EC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318" w:type="pct"/>
                  <w:vMerge w:val="continue"/>
                  <w:vAlign w:val="center"/>
                </w:tcPr>
                <w:p w14:paraId="15144806">
                  <w:pPr>
                    <w:widowControl/>
                    <w:jc w:val="center"/>
                    <w:rPr>
                      <w:color w:val="auto"/>
                    </w:rPr>
                  </w:pPr>
                </w:p>
              </w:tc>
              <w:tc>
                <w:tcPr>
                  <w:tcW w:w="573" w:type="pct"/>
                  <w:vMerge w:val="continue"/>
                  <w:vAlign w:val="center"/>
                </w:tcPr>
                <w:p w14:paraId="3D906AC8">
                  <w:pPr>
                    <w:widowControl/>
                    <w:jc w:val="center"/>
                    <w:rPr>
                      <w:color w:val="auto"/>
                    </w:rPr>
                  </w:pPr>
                </w:p>
              </w:tc>
              <w:tc>
                <w:tcPr>
                  <w:tcW w:w="1646" w:type="pct"/>
                  <w:vAlign w:val="center"/>
                </w:tcPr>
                <w:p w14:paraId="3464F85E">
                  <w:pPr>
                    <w:widowControl/>
                    <w:jc w:val="center"/>
                    <w:rPr>
                      <w:rFonts w:hint="default"/>
                      <w:color w:val="auto"/>
                      <w:szCs w:val="21"/>
                      <w:highlight w:val="none"/>
                      <w:lang w:eastAsia="zh-CN"/>
                    </w:rPr>
                  </w:pPr>
                  <w:r>
                    <w:rPr>
                      <w:rFonts w:hint="eastAsia"/>
                      <w:color w:val="auto"/>
                      <w:szCs w:val="21"/>
                      <w:highlight w:val="none"/>
                      <w:lang w:eastAsia="zh-CN"/>
                    </w:rPr>
                    <w:t>一般固废暂存间（</w:t>
                  </w:r>
                  <w:r>
                    <w:rPr>
                      <w:rFonts w:hint="eastAsia"/>
                      <w:color w:val="auto"/>
                      <w:szCs w:val="21"/>
                      <w:highlight w:val="none"/>
                      <w:lang w:val="en-US" w:eastAsia="zh-CN"/>
                    </w:rPr>
                    <w:t>1个，占地200m</w:t>
                  </w:r>
                  <w:r>
                    <w:rPr>
                      <w:rFonts w:hint="eastAsia"/>
                      <w:color w:val="auto"/>
                      <w:szCs w:val="21"/>
                      <w:highlight w:val="none"/>
                      <w:vertAlign w:val="superscript"/>
                      <w:lang w:val="en-US" w:eastAsia="zh-CN"/>
                    </w:rPr>
                    <w:t>2</w:t>
                  </w:r>
                  <w:r>
                    <w:rPr>
                      <w:rFonts w:hint="eastAsia"/>
                      <w:color w:val="auto"/>
                      <w:szCs w:val="21"/>
                      <w:highlight w:val="none"/>
                      <w:lang w:eastAsia="zh-CN"/>
                    </w:rPr>
                    <w:t>）</w:t>
                  </w:r>
                </w:p>
              </w:tc>
              <w:tc>
                <w:tcPr>
                  <w:tcW w:w="1606" w:type="pct"/>
                  <w:vAlign w:val="center"/>
                </w:tcPr>
                <w:p w14:paraId="4111D118">
                  <w:pPr>
                    <w:widowControl/>
                    <w:jc w:val="center"/>
                    <w:rPr>
                      <w:rFonts w:hint="default"/>
                      <w:color w:val="auto"/>
                      <w:szCs w:val="21"/>
                      <w:highlight w:val="none"/>
                      <w:lang w:eastAsia="zh-CN"/>
                    </w:rPr>
                  </w:pPr>
                  <w:r>
                    <w:rPr>
                      <w:rFonts w:hint="eastAsia"/>
                      <w:color w:val="auto"/>
                      <w:szCs w:val="21"/>
                      <w:highlight w:val="none"/>
                      <w:lang w:eastAsia="zh-CN"/>
                    </w:rPr>
                    <w:t>一般固废暂存间（</w:t>
                  </w:r>
                  <w:r>
                    <w:rPr>
                      <w:rFonts w:hint="eastAsia"/>
                      <w:color w:val="auto"/>
                      <w:szCs w:val="21"/>
                      <w:highlight w:val="none"/>
                      <w:lang w:val="en-US" w:eastAsia="zh-CN"/>
                    </w:rPr>
                    <w:t>1个，占地200m</w:t>
                  </w:r>
                  <w:r>
                    <w:rPr>
                      <w:rFonts w:hint="eastAsia"/>
                      <w:color w:val="auto"/>
                      <w:szCs w:val="21"/>
                      <w:highlight w:val="none"/>
                      <w:vertAlign w:val="superscript"/>
                      <w:lang w:val="en-US" w:eastAsia="zh-CN"/>
                    </w:rPr>
                    <w:t>2</w:t>
                  </w:r>
                  <w:r>
                    <w:rPr>
                      <w:rFonts w:hint="eastAsia"/>
                      <w:color w:val="auto"/>
                      <w:szCs w:val="21"/>
                      <w:highlight w:val="none"/>
                      <w:lang w:eastAsia="zh-CN"/>
                    </w:rPr>
                    <w:t>）</w:t>
                  </w:r>
                </w:p>
              </w:tc>
              <w:tc>
                <w:tcPr>
                  <w:tcW w:w="855" w:type="pct"/>
                  <w:vMerge w:val="continue"/>
                  <w:vAlign w:val="center"/>
                </w:tcPr>
                <w:p w14:paraId="1B3D2C94">
                  <w:pPr>
                    <w:widowControl/>
                    <w:jc w:val="center"/>
                    <w:rPr>
                      <w:rFonts w:hint="default"/>
                      <w:color w:val="auto"/>
                      <w:szCs w:val="21"/>
                      <w:highlight w:val="none"/>
                      <w:lang w:eastAsia="zh-CN"/>
                    </w:rPr>
                  </w:pPr>
                </w:p>
              </w:tc>
            </w:tr>
            <w:tr w14:paraId="15DCAE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318" w:type="pct"/>
                  <w:vMerge w:val="continue"/>
                  <w:vAlign w:val="center"/>
                </w:tcPr>
                <w:p w14:paraId="4F19EC78">
                  <w:pPr>
                    <w:widowControl/>
                    <w:jc w:val="center"/>
                    <w:rPr>
                      <w:rFonts w:hint="default"/>
                      <w:color w:val="auto"/>
                      <w:szCs w:val="21"/>
                      <w:highlight w:val="none"/>
                      <w:lang w:eastAsia="zh-CN"/>
                    </w:rPr>
                  </w:pPr>
                </w:p>
              </w:tc>
              <w:tc>
                <w:tcPr>
                  <w:tcW w:w="573" w:type="pct"/>
                  <w:vMerge w:val="continue"/>
                  <w:vAlign w:val="center"/>
                </w:tcPr>
                <w:p w14:paraId="20AE6142">
                  <w:pPr>
                    <w:widowControl/>
                    <w:jc w:val="center"/>
                    <w:rPr>
                      <w:rFonts w:hint="default"/>
                      <w:color w:val="auto"/>
                      <w:szCs w:val="21"/>
                      <w:highlight w:val="none"/>
                      <w:lang w:eastAsia="zh-CN"/>
                    </w:rPr>
                  </w:pPr>
                </w:p>
              </w:tc>
              <w:tc>
                <w:tcPr>
                  <w:tcW w:w="1646" w:type="pct"/>
                  <w:vAlign w:val="center"/>
                </w:tcPr>
                <w:p w14:paraId="0663512A">
                  <w:pPr>
                    <w:widowControl/>
                    <w:jc w:val="center"/>
                    <w:rPr>
                      <w:rFonts w:hint="default"/>
                      <w:color w:val="auto"/>
                      <w:szCs w:val="21"/>
                      <w:highlight w:val="none"/>
                      <w:lang w:eastAsia="zh-CN"/>
                    </w:rPr>
                  </w:pPr>
                  <w:r>
                    <w:rPr>
                      <w:rFonts w:hint="eastAsia"/>
                      <w:color w:val="auto"/>
                      <w:szCs w:val="21"/>
                      <w:highlight w:val="none"/>
                      <w:lang w:eastAsia="zh-CN"/>
                    </w:rPr>
                    <w:t>危险废物暂存间（</w:t>
                  </w:r>
                  <w:r>
                    <w:rPr>
                      <w:rFonts w:hint="eastAsia"/>
                      <w:color w:val="auto"/>
                      <w:szCs w:val="21"/>
                      <w:highlight w:val="none"/>
                      <w:lang w:val="en-US" w:eastAsia="zh-CN"/>
                    </w:rPr>
                    <w:t>1个，占地10m</w:t>
                  </w:r>
                  <w:r>
                    <w:rPr>
                      <w:rFonts w:hint="eastAsia"/>
                      <w:color w:val="auto"/>
                      <w:szCs w:val="21"/>
                      <w:highlight w:val="none"/>
                      <w:vertAlign w:val="superscript"/>
                      <w:lang w:val="en-US" w:eastAsia="zh-CN"/>
                    </w:rPr>
                    <w:t>2</w:t>
                  </w:r>
                  <w:r>
                    <w:rPr>
                      <w:rFonts w:hint="eastAsia"/>
                      <w:color w:val="auto"/>
                      <w:szCs w:val="21"/>
                      <w:highlight w:val="none"/>
                      <w:lang w:eastAsia="zh-CN"/>
                    </w:rPr>
                    <w:t>）</w:t>
                  </w:r>
                </w:p>
              </w:tc>
              <w:tc>
                <w:tcPr>
                  <w:tcW w:w="1606" w:type="pct"/>
                  <w:vAlign w:val="center"/>
                </w:tcPr>
                <w:p w14:paraId="5B59358D">
                  <w:pPr>
                    <w:widowControl/>
                    <w:jc w:val="center"/>
                    <w:rPr>
                      <w:rFonts w:hint="default"/>
                      <w:color w:val="auto"/>
                      <w:szCs w:val="21"/>
                      <w:highlight w:val="none"/>
                      <w:lang w:eastAsia="zh-CN"/>
                    </w:rPr>
                  </w:pPr>
                  <w:r>
                    <w:rPr>
                      <w:rFonts w:hint="eastAsia"/>
                      <w:color w:val="auto"/>
                      <w:szCs w:val="21"/>
                      <w:highlight w:val="none"/>
                      <w:lang w:eastAsia="zh-CN"/>
                    </w:rPr>
                    <w:t>危险废物暂存间（</w:t>
                  </w:r>
                  <w:r>
                    <w:rPr>
                      <w:rFonts w:hint="eastAsia"/>
                      <w:color w:val="auto"/>
                      <w:szCs w:val="21"/>
                      <w:highlight w:val="none"/>
                      <w:lang w:val="en-US" w:eastAsia="zh-CN"/>
                    </w:rPr>
                    <w:t>1个，占地10m</w:t>
                  </w:r>
                  <w:r>
                    <w:rPr>
                      <w:rFonts w:hint="eastAsia"/>
                      <w:color w:val="auto"/>
                      <w:szCs w:val="21"/>
                      <w:highlight w:val="none"/>
                      <w:vertAlign w:val="superscript"/>
                      <w:lang w:val="en-US" w:eastAsia="zh-CN"/>
                    </w:rPr>
                    <w:t>2</w:t>
                  </w:r>
                  <w:r>
                    <w:rPr>
                      <w:rFonts w:hint="eastAsia"/>
                      <w:color w:val="auto"/>
                      <w:szCs w:val="21"/>
                      <w:highlight w:val="none"/>
                      <w:lang w:eastAsia="zh-CN"/>
                    </w:rPr>
                    <w:t>）</w:t>
                  </w:r>
                </w:p>
              </w:tc>
              <w:tc>
                <w:tcPr>
                  <w:tcW w:w="855" w:type="pct"/>
                  <w:vMerge w:val="continue"/>
                  <w:vAlign w:val="center"/>
                </w:tcPr>
                <w:p w14:paraId="1B1A3BA2">
                  <w:pPr>
                    <w:widowControl/>
                    <w:jc w:val="center"/>
                    <w:rPr>
                      <w:rFonts w:hint="default"/>
                      <w:color w:val="auto"/>
                      <w:szCs w:val="21"/>
                      <w:highlight w:val="none"/>
                      <w:lang w:eastAsia="zh-CN"/>
                    </w:rPr>
                  </w:pPr>
                </w:p>
              </w:tc>
            </w:tr>
            <w:tr w14:paraId="3FF5FE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318" w:type="pct"/>
                  <w:vMerge w:val="continue"/>
                  <w:vAlign w:val="center"/>
                </w:tcPr>
                <w:p w14:paraId="4A7C0871">
                  <w:pPr>
                    <w:jc w:val="center"/>
                    <w:rPr>
                      <w:rFonts w:hint="eastAsia"/>
                      <w:color w:val="auto"/>
                      <w:highlight w:val="none"/>
                      <w:lang w:eastAsia="zh-CN"/>
                    </w:rPr>
                  </w:pPr>
                </w:p>
              </w:tc>
              <w:tc>
                <w:tcPr>
                  <w:tcW w:w="573" w:type="pct"/>
                  <w:vAlign w:val="center"/>
                </w:tcPr>
                <w:p w14:paraId="0B896B5D">
                  <w:pPr>
                    <w:widowControl/>
                    <w:jc w:val="left"/>
                    <w:rPr>
                      <w:rFonts w:hint="eastAsia"/>
                      <w:color w:val="auto"/>
                      <w:highlight w:val="none"/>
                      <w:lang w:eastAsia="zh-CN"/>
                    </w:rPr>
                  </w:pPr>
                  <w:r>
                    <w:rPr>
                      <w:rFonts w:hint="eastAsia" w:ascii="宋体" w:hAnsi="宋体" w:eastAsia="宋体" w:cs="宋体"/>
                      <w:color w:val="auto"/>
                      <w:kern w:val="0"/>
                      <w:sz w:val="21"/>
                      <w:szCs w:val="21"/>
                      <w:lang w:val="en-US" w:eastAsia="zh-CN" w:bidi="ar"/>
                    </w:rPr>
                    <w:t>地下水、土壤处理措施</w:t>
                  </w:r>
                </w:p>
              </w:tc>
              <w:tc>
                <w:tcPr>
                  <w:tcW w:w="1646" w:type="pct"/>
                  <w:vAlign w:val="center"/>
                </w:tcPr>
                <w:p w14:paraId="0284C0A5">
                  <w:pPr>
                    <w:widowControl/>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危险废物暂存间、喷漆房设置为重点防渗区，一般固废暂存间、分条区、螺旋管埋弧焊机组区、平头倒棱区、补焊区、抛丸除锈区、喷塑缠绕水冷一体生产线区、大管径钢管压弯卷管区、隔油池、化粪池设置为一般防渗区，其余为简单防渗区</w:t>
                  </w:r>
                </w:p>
              </w:tc>
              <w:tc>
                <w:tcPr>
                  <w:tcW w:w="1606" w:type="pct"/>
                  <w:vAlign w:val="center"/>
                </w:tcPr>
                <w:p w14:paraId="1DE966E0">
                  <w:pPr>
                    <w:widowControl/>
                    <w:jc w:val="center"/>
                    <w:rPr>
                      <w:rFonts w:hint="eastAsia"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危险废物暂存间设置为重点防渗区，一般固废暂存间、分条区、螺旋管埋弧焊机组区、平头倒棱区、补焊区、抛丸除锈区、喷塑缠绕水冷一体生产线区、大管径钢管压弯卷管区、隔油池、化粪池设置为一般防渗区，其余为简单防渗区</w:t>
                  </w:r>
                </w:p>
              </w:tc>
              <w:tc>
                <w:tcPr>
                  <w:tcW w:w="855" w:type="pct"/>
                  <w:vAlign w:val="center"/>
                </w:tcPr>
                <w:p w14:paraId="47B6DF7B">
                  <w:pPr>
                    <w:jc w:val="center"/>
                    <w:rPr>
                      <w:rFonts w:hint="eastAsia"/>
                      <w:color w:val="auto"/>
                      <w:highlight w:val="none"/>
                      <w:lang w:eastAsia="zh-CN"/>
                    </w:rPr>
                  </w:pPr>
                  <w:r>
                    <w:rPr>
                      <w:rFonts w:hint="eastAsia"/>
                      <w:color w:val="auto"/>
                      <w:highlight w:val="none"/>
                      <w:lang w:eastAsia="zh-CN"/>
                    </w:rPr>
                    <w:t>一期不设置</w:t>
                  </w:r>
                  <w:r>
                    <w:rPr>
                      <w:rFonts w:hint="default" w:ascii="Times New Roman" w:hAnsi="Times New Roman" w:eastAsia="宋体" w:cs="Times New Roman"/>
                      <w:color w:val="auto"/>
                      <w:kern w:val="0"/>
                      <w:sz w:val="21"/>
                      <w:szCs w:val="21"/>
                      <w:lang w:val="en-US" w:eastAsia="zh-CN" w:bidi="ar"/>
                    </w:rPr>
                    <w:t>喷漆房</w:t>
                  </w:r>
                </w:p>
              </w:tc>
            </w:tr>
          </w:tbl>
          <w:p w14:paraId="21F43C37">
            <w:pPr>
              <w:pStyle w:val="93"/>
              <w:keepNext w:val="0"/>
              <w:keepLines w:val="0"/>
              <w:pageBreakBefore w:val="0"/>
              <w:kinsoku/>
              <w:wordWrap/>
              <w:overflowPunct/>
              <w:topLinePunct w:val="0"/>
              <w:autoSpaceDE/>
              <w:autoSpaceDN/>
              <w:bidi w:val="0"/>
              <w:spacing w:line="360" w:lineRule="auto"/>
              <w:ind w:right="0"/>
              <w:textAlignment w:val="auto"/>
              <w:rPr>
                <w:color w:val="auto"/>
                <w:szCs w:val="24"/>
              </w:rPr>
            </w:pPr>
            <w:r>
              <w:rPr>
                <w:rFonts w:hint="eastAsia"/>
                <w:color w:val="auto"/>
                <w:szCs w:val="24"/>
              </w:rPr>
              <w:t>（</w:t>
            </w:r>
            <w:r>
              <w:rPr>
                <w:color w:val="auto"/>
                <w:szCs w:val="24"/>
              </w:rPr>
              <w:t>3</w:t>
            </w:r>
            <w:r>
              <w:rPr>
                <w:rFonts w:hint="eastAsia"/>
                <w:color w:val="auto"/>
                <w:szCs w:val="24"/>
              </w:rPr>
              <w:t>）劳动定员及工作制度</w:t>
            </w:r>
          </w:p>
          <w:p w14:paraId="0F33C562">
            <w:pPr>
              <w:pStyle w:val="93"/>
              <w:keepNext w:val="0"/>
              <w:keepLines w:val="0"/>
              <w:pageBreakBefore w:val="0"/>
              <w:kinsoku/>
              <w:wordWrap/>
              <w:overflowPunct/>
              <w:topLinePunct w:val="0"/>
              <w:autoSpaceDE/>
              <w:autoSpaceDN/>
              <w:bidi w:val="0"/>
              <w:spacing w:line="360" w:lineRule="auto"/>
              <w:ind w:right="0"/>
              <w:textAlignment w:val="auto"/>
              <w:rPr>
                <w:rFonts w:hint="eastAsia" w:eastAsia="宋体"/>
                <w:color w:val="auto"/>
                <w:sz w:val="24"/>
                <w:lang w:eastAsia="zh-CN"/>
              </w:rPr>
            </w:pPr>
            <w:r>
              <w:rPr>
                <w:color w:val="auto"/>
                <w:sz w:val="24"/>
              </w:rPr>
              <w:t>本项目</w:t>
            </w:r>
            <w:r>
              <w:rPr>
                <w:rFonts w:hint="eastAsia"/>
                <w:color w:val="auto"/>
                <w:sz w:val="24"/>
                <w:lang w:eastAsia="zh-CN"/>
              </w:rPr>
              <w:t>劳动</w:t>
            </w:r>
            <w:r>
              <w:rPr>
                <w:color w:val="auto"/>
                <w:sz w:val="24"/>
              </w:rPr>
              <w:t>定员</w:t>
            </w:r>
            <w:r>
              <w:rPr>
                <w:rFonts w:hint="eastAsia"/>
                <w:color w:val="auto"/>
                <w:sz w:val="24"/>
                <w:lang w:val="en-US" w:eastAsia="zh-CN"/>
              </w:rPr>
              <w:t>102</w:t>
            </w:r>
            <w:r>
              <w:rPr>
                <w:color w:val="auto"/>
                <w:sz w:val="24"/>
              </w:rPr>
              <w:t>人</w:t>
            </w:r>
            <w:r>
              <w:rPr>
                <w:rFonts w:hint="eastAsia"/>
                <w:color w:val="auto"/>
                <w:sz w:val="24"/>
              </w:rPr>
              <w:t>，</w:t>
            </w:r>
            <w:r>
              <w:rPr>
                <w:rFonts w:hint="eastAsia"/>
                <w:color w:val="auto"/>
                <w:sz w:val="24"/>
                <w:lang w:eastAsia="zh-CN"/>
              </w:rPr>
              <w:t>年工作</w:t>
            </w:r>
            <w:r>
              <w:rPr>
                <w:rFonts w:hint="eastAsia"/>
                <w:color w:val="auto"/>
                <w:sz w:val="24"/>
                <w:lang w:val="en-US" w:eastAsia="zh-CN"/>
              </w:rPr>
              <w:t>300天，两班制，每班8小时</w:t>
            </w:r>
            <w:r>
              <w:rPr>
                <w:rFonts w:hint="eastAsia"/>
                <w:color w:val="auto"/>
                <w:sz w:val="24"/>
                <w:lang w:eastAsia="zh-CN"/>
              </w:rPr>
              <w:t>，不在场内食宿。</w:t>
            </w:r>
          </w:p>
          <w:p w14:paraId="796903C7">
            <w:pPr>
              <w:pStyle w:val="93"/>
              <w:keepNext w:val="0"/>
              <w:keepLines w:val="0"/>
              <w:pageBreakBefore w:val="0"/>
              <w:kinsoku/>
              <w:wordWrap/>
              <w:overflowPunct/>
              <w:topLinePunct w:val="0"/>
              <w:autoSpaceDE/>
              <w:autoSpaceDN/>
              <w:bidi w:val="0"/>
              <w:spacing w:line="360" w:lineRule="auto"/>
              <w:ind w:right="0"/>
              <w:textAlignment w:val="auto"/>
              <w:rPr>
                <w:color w:val="auto"/>
                <w:szCs w:val="24"/>
              </w:rPr>
            </w:pPr>
            <w:r>
              <w:rPr>
                <w:rFonts w:hint="eastAsia"/>
                <w:color w:val="auto"/>
                <w:szCs w:val="24"/>
              </w:rPr>
              <w:t>（4）项目主要工艺设备明细表</w:t>
            </w:r>
          </w:p>
          <w:p w14:paraId="41346C90">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b/>
                <w:bCs/>
                <w:color w:val="auto"/>
                <w:sz w:val="18"/>
                <w:szCs w:val="18"/>
              </w:rPr>
            </w:pPr>
            <w:r>
              <w:rPr>
                <w:color w:val="auto"/>
                <w:sz w:val="24"/>
                <w:szCs w:val="24"/>
              </w:rPr>
              <w:t>生产设备情况见</w:t>
            </w:r>
            <w:r>
              <w:rPr>
                <w:rFonts w:hint="eastAsia"/>
                <w:color w:val="auto"/>
                <w:sz w:val="24"/>
                <w:szCs w:val="24"/>
                <w:lang w:eastAsia="zh-CN"/>
              </w:rPr>
              <w:t>下表</w:t>
            </w:r>
            <w:r>
              <w:rPr>
                <w:color w:val="auto"/>
                <w:sz w:val="24"/>
                <w:szCs w:val="24"/>
              </w:rPr>
              <w:t>。</w:t>
            </w:r>
          </w:p>
          <w:p w14:paraId="73E627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color w:val="auto"/>
                <w:sz w:val="24"/>
              </w:rPr>
            </w:pPr>
            <w:r>
              <w:rPr>
                <w:rFonts w:ascii="Times New Roman" w:hAnsi="Times New Roman" w:eastAsia="宋体" w:cs="Times New Roman"/>
                <w:b/>
                <w:color w:val="auto"/>
                <w:sz w:val="24"/>
              </w:rPr>
              <w:t>表</w:t>
            </w:r>
            <w:r>
              <w:rPr>
                <w:rFonts w:hint="eastAsia" w:ascii="Times New Roman" w:hAnsi="Times New Roman" w:eastAsia="宋体" w:cs="Times New Roman"/>
                <w:b/>
                <w:color w:val="auto"/>
                <w:sz w:val="24"/>
              </w:rPr>
              <w:t>2-</w:t>
            </w:r>
            <w:r>
              <w:rPr>
                <w:rFonts w:hint="eastAsia" w:ascii="Times New Roman" w:hAnsi="Times New Roman" w:eastAsia="宋体" w:cs="Times New Roman"/>
                <w:b/>
                <w:color w:val="auto"/>
                <w:sz w:val="24"/>
                <w:lang w:val="en-US" w:eastAsia="zh-CN"/>
              </w:rPr>
              <w:t>4</w:t>
            </w:r>
            <w:r>
              <w:rPr>
                <w:rFonts w:ascii="Times New Roman" w:hAnsi="Times New Roman" w:eastAsia="宋体" w:cs="Times New Roman"/>
                <w:b/>
                <w:color w:val="auto"/>
                <w:sz w:val="24"/>
              </w:rPr>
              <w:t xml:space="preserve"> </w:t>
            </w:r>
            <w:r>
              <w:rPr>
                <w:rFonts w:hint="eastAsia" w:ascii="Times New Roman" w:hAnsi="Times New Roman" w:eastAsia="宋体" w:cs="Times New Roman"/>
                <w:b/>
                <w:color w:val="auto"/>
                <w:sz w:val="24"/>
              </w:rPr>
              <w:t>本</w:t>
            </w:r>
            <w:r>
              <w:rPr>
                <w:rFonts w:ascii="Times New Roman" w:hAnsi="Times New Roman" w:eastAsia="宋体" w:cs="Times New Roman"/>
                <w:b/>
                <w:color w:val="auto"/>
                <w:sz w:val="24"/>
              </w:rPr>
              <w:t>项目生产设备一览表</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695"/>
              <w:gridCol w:w="1452"/>
              <w:gridCol w:w="1202"/>
              <w:gridCol w:w="1443"/>
              <w:gridCol w:w="1151"/>
              <w:gridCol w:w="1006"/>
              <w:gridCol w:w="987"/>
            </w:tblGrid>
            <w:tr w14:paraId="61C0CD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3" w:type="pct"/>
                  <w:vAlign w:val="center"/>
                </w:tcPr>
                <w:p w14:paraId="5DD778F0">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序号</w:t>
                  </w:r>
                </w:p>
              </w:tc>
              <w:tc>
                <w:tcPr>
                  <w:tcW w:w="900" w:type="pct"/>
                  <w:vAlign w:val="center"/>
                </w:tcPr>
                <w:p w14:paraId="38B31862">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生产设施</w:t>
                  </w:r>
                </w:p>
              </w:tc>
              <w:tc>
                <w:tcPr>
                  <w:tcW w:w="771" w:type="pct"/>
                  <w:vAlign w:val="center"/>
                </w:tcPr>
                <w:p w14:paraId="57119AC5">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环评及批复型号</w:t>
                  </w:r>
                </w:p>
              </w:tc>
              <w:tc>
                <w:tcPr>
                  <w:tcW w:w="638" w:type="pct"/>
                  <w:vAlign w:val="center"/>
                </w:tcPr>
                <w:p w14:paraId="3DD22863">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环评及批复数量（台）</w:t>
                  </w:r>
                </w:p>
              </w:tc>
              <w:tc>
                <w:tcPr>
                  <w:tcW w:w="766" w:type="pct"/>
                  <w:vAlign w:val="center"/>
                </w:tcPr>
                <w:p w14:paraId="375DF23A">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实际型号</w:t>
                  </w:r>
                </w:p>
              </w:tc>
              <w:tc>
                <w:tcPr>
                  <w:tcW w:w="611" w:type="pct"/>
                  <w:vAlign w:val="center"/>
                </w:tcPr>
                <w:p w14:paraId="7CCFB02D">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一期</w:t>
                  </w:r>
                  <w:r>
                    <w:rPr>
                      <w:rFonts w:hint="default" w:ascii="Times New Roman" w:hAnsi="Times New Roman" w:eastAsia="宋体" w:cs="Times New Roman"/>
                      <w:color w:val="auto"/>
                      <w:kern w:val="2"/>
                      <w:sz w:val="21"/>
                      <w:szCs w:val="21"/>
                      <w:highlight w:val="none"/>
                      <w:lang w:val="en-US" w:eastAsia="zh-CN" w:bidi="ar-SA"/>
                    </w:rPr>
                    <w:t>实际数量（台）</w:t>
                  </w:r>
                </w:p>
              </w:tc>
              <w:tc>
                <w:tcPr>
                  <w:tcW w:w="534" w:type="pct"/>
                  <w:vAlign w:val="center"/>
                </w:tcPr>
                <w:p w14:paraId="0954F3C7">
                  <w:pPr>
                    <w:keepNext w:val="0"/>
                    <w:keepLines w:val="0"/>
                    <w:pageBreakBefore w:val="0"/>
                    <w:widowControl w:val="0"/>
                    <w:kinsoku/>
                    <w:wordWrap/>
                    <w:overflowPunct/>
                    <w:topLinePunct w:val="0"/>
                    <w:autoSpaceDE/>
                    <w:autoSpaceDN/>
                    <w:bidi w:val="0"/>
                    <w:snapToGrid w:val="0"/>
                    <w:spacing w:line="240" w:lineRule="auto"/>
                    <w:ind w:left="0" w:left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未安装设备</w:t>
                  </w:r>
                  <w:r>
                    <w:rPr>
                      <w:rFonts w:hint="default" w:ascii="Times New Roman" w:hAnsi="Times New Roman" w:eastAsia="宋体" w:cs="Times New Roman"/>
                      <w:b w:val="0"/>
                      <w:bCs w:val="0"/>
                      <w:color w:val="auto"/>
                      <w:sz w:val="21"/>
                      <w:szCs w:val="21"/>
                      <w:highlight w:val="none"/>
                    </w:rPr>
                    <w:t>（台</w:t>
                  </w:r>
                  <w:r>
                    <w:rPr>
                      <w:rFonts w:hint="default" w:ascii="Times New Roman" w:hAnsi="Times New Roman" w:eastAsia="宋体" w:cs="Times New Roman"/>
                      <w:b w:val="0"/>
                      <w:bCs w:val="0"/>
                      <w:color w:val="auto"/>
                      <w:sz w:val="21"/>
                      <w:szCs w:val="21"/>
                      <w:highlight w:val="none"/>
                      <w:lang w:val="en-US" w:eastAsia="zh-CN"/>
                    </w:rPr>
                    <w:t>/套</w:t>
                  </w:r>
                  <w:r>
                    <w:rPr>
                      <w:rFonts w:hint="default" w:ascii="Times New Roman" w:hAnsi="Times New Roman" w:eastAsia="宋体" w:cs="Times New Roman"/>
                      <w:b w:val="0"/>
                      <w:bCs w:val="0"/>
                      <w:color w:val="auto"/>
                      <w:sz w:val="21"/>
                      <w:szCs w:val="21"/>
                      <w:highlight w:val="none"/>
                    </w:rPr>
                    <w:t>）</w:t>
                  </w:r>
                </w:p>
              </w:tc>
              <w:tc>
                <w:tcPr>
                  <w:tcW w:w="524" w:type="pct"/>
                  <w:vAlign w:val="center"/>
                </w:tcPr>
                <w:p w14:paraId="443B0B26">
                  <w:pPr>
                    <w:keepNext w:val="0"/>
                    <w:keepLines w:val="0"/>
                    <w:pageBreakBefore w:val="0"/>
                    <w:widowControl w:val="0"/>
                    <w:kinsoku/>
                    <w:wordWrap/>
                    <w:overflowPunct/>
                    <w:topLinePunct w:val="0"/>
                    <w:autoSpaceDE/>
                    <w:autoSpaceDN/>
                    <w:bidi w:val="0"/>
                    <w:snapToGrid w:val="0"/>
                    <w:spacing w:line="240" w:lineRule="auto"/>
                    <w:ind w:left="0" w:lef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备注</w:t>
                  </w:r>
                </w:p>
              </w:tc>
            </w:tr>
            <w:tr w14:paraId="7E2C75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3" w:type="pct"/>
                  <w:vAlign w:val="center"/>
                </w:tcPr>
                <w:p w14:paraId="69441AFB">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c>
                <w:tcPr>
                  <w:tcW w:w="900" w:type="pct"/>
                  <w:vAlign w:val="center"/>
                </w:tcPr>
                <w:p w14:paraId="4817D26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分条机</w:t>
                  </w:r>
                </w:p>
              </w:tc>
              <w:tc>
                <w:tcPr>
                  <w:tcW w:w="771" w:type="pct"/>
                  <w:vAlign w:val="center"/>
                </w:tcPr>
                <w:p w14:paraId="25801172">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38" w:type="pct"/>
                  <w:vAlign w:val="center"/>
                </w:tcPr>
                <w:p w14:paraId="4A7D9BDB">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766" w:type="pct"/>
                  <w:vAlign w:val="center"/>
                </w:tcPr>
                <w:p w14:paraId="390F0E7B">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611" w:type="pct"/>
                  <w:vAlign w:val="center"/>
                </w:tcPr>
                <w:p w14:paraId="7DE984FA">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534" w:type="pct"/>
                  <w:vAlign w:val="center"/>
                </w:tcPr>
                <w:p w14:paraId="5850FA21">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restart"/>
                  <w:vAlign w:val="center"/>
                </w:tcPr>
                <w:p w14:paraId="31EECCA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未安装设施为二期验收内容</w:t>
                  </w:r>
                </w:p>
              </w:tc>
            </w:tr>
            <w:tr w14:paraId="4C9841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3" w:type="pct"/>
                  <w:vAlign w:val="center"/>
                </w:tcPr>
                <w:p w14:paraId="1A0E2547">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w:t>
                  </w:r>
                </w:p>
              </w:tc>
              <w:tc>
                <w:tcPr>
                  <w:tcW w:w="900" w:type="pct"/>
                  <w:vAlign w:val="center"/>
                </w:tcPr>
                <w:p w14:paraId="330877C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螺旋管埋弧焊机组</w:t>
                  </w:r>
                  <w:r>
                    <w:rPr>
                      <w:rFonts w:hint="default" w:ascii="Times New Roman" w:hAnsi="Times New Roman"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大）</w:t>
                  </w:r>
                </w:p>
              </w:tc>
              <w:tc>
                <w:tcPr>
                  <w:tcW w:w="771" w:type="pct"/>
                  <w:vAlign w:val="center"/>
                </w:tcPr>
                <w:p w14:paraId="7AB0FACF">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C</w:t>
                  </w:r>
                  <w:r>
                    <w:rPr>
                      <w:rFonts w:hint="default"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1120-3600</w:t>
                  </w:r>
                </w:p>
              </w:tc>
              <w:tc>
                <w:tcPr>
                  <w:tcW w:w="638" w:type="pct"/>
                  <w:vAlign w:val="center"/>
                </w:tcPr>
                <w:p w14:paraId="279E84DF">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766" w:type="pct"/>
                  <w:vAlign w:val="center"/>
                </w:tcPr>
                <w:p w14:paraId="43C7A046">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highlight w:val="none"/>
                      <w:lang w:val="en-US" w:eastAsia="zh-CN" w:bidi="ar-SA"/>
                    </w:rPr>
                    <w:t>C</w:t>
                  </w:r>
                  <w:r>
                    <w:rPr>
                      <w:rFonts w:hint="default"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1120-3600</w:t>
                  </w:r>
                </w:p>
              </w:tc>
              <w:tc>
                <w:tcPr>
                  <w:tcW w:w="611" w:type="pct"/>
                  <w:vAlign w:val="center"/>
                </w:tcPr>
                <w:p w14:paraId="51CB8564">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534" w:type="pct"/>
                  <w:vAlign w:val="center"/>
                </w:tcPr>
                <w:p w14:paraId="4ECF0376">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18F71E0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rPr>
                  </w:pPr>
                </w:p>
              </w:tc>
            </w:tr>
            <w:tr w14:paraId="63A6A1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3" w:type="pct"/>
                  <w:vAlign w:val="center"/>
                </w:tcPr>
                <w:p w14:paraId="773924E6">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p>
              </w:tc>
              <w:tc>
                <w:tcPr>
                  <w:tcW w:w="900" w:type="pct"/>
                  <w:vAlign w:val="center"/>
                </w:tcPr>
                <w:p w14:paraId="5A68DF7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螺旋管埋弧焊机组</w:t>
                  </w:r>
                  <w:r>
                    <w:rPr>
                      <w:rFonts w:hint="default" w:ascii="Times New Roman" w:hAnsi="Times New Roman" w:cs="Times New Roman"/>
                      <w:color w:val="auto"/>
                      <w:kern w:val="2"/>
                      <w:sz w:val="21"/>
                      <w:szCs w:val="21"/>
                      <w:lang w:val="en-US" w:eastAsia="zh-CN" w:bidi="ar-SA"/>
                    </w:rPr>
                    <w:t>（小</w:t>
                  </w:r>
                  <w:r>
                    <w:rPr>
                      <w:rFonts w:hint="default" w:ascii="Times New Roman" w:hAnsi="Times New Roman" w:eastAsia="宋体" w:cs="Times New Roman"/>
                      <w:color w:val="auto"/>
                      <w:kern w:val="2"/>
                      <w:sz w:val="21"/>
                      <w:szCs w:val="21"/>
                      <w:lang w:val="en-US" w:eastAsia="zh-CN" w:bidi="ar-SA"/>
                    </w:rPr>
                    <w:t>）</w:t>
                  </w:r>
                </w:p>
              </w:tc>
              <w:tc>
                <w:tcPr>
                  <w:tcW w:w="771" w:type="pct"/>
                  <w:vAlign w:val="center"/>
                </w:tcPr>
                <w:p w14:paraId="69DC743A">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w:t>
                  </w:r>
                  <w:r>
                    <w:rPr>
                      <w:rFonts w:hint="default"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lang w:val="en-US" w:eastAsia="zh-CN" w:bidi="ar-SA"/>
                    </w:rPr>
                    <w:t>219-1020</w:t>
                  </w:r>
                </w:p>
              </w:tc>
              <w:tc>
                <w:tcPr>
                  <w:tcW w:w="638" w:type="pct"/>
                  <w:vAlign w:val="center"/>
                </w:tcPr>
                <w:p w14:paraId="09DE053F">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766" w:type="pct"/>
                  <w:vAlign w:val="center"/>
                </w:tcPr>
                <w:p w14:paraId="415F9E81">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w:t>
                  </w:r>
                  <w:r>
                    <w:rPr>
                      <w:rFonts w:hint="default"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lang w:val="en-US" w:eastAsia="zh-CN" w:bidi="ar-SA"/>
                    </w:rPr>
                    <w:t>219-1020</w:t>
                  </w:r>
                </w:p>
              </w:tc>
              <w:tc>
                <w:tcPr>
                  <w:tcW w:w="611" w:type="pct"/>
                  <w:vAlign w:val="center"/>
                </w:tcPr>
                <w:p w14:paraId="3664908C">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534" w:type="pct"/>
                  <w:vAlign w:val="center"/>
                </w:tcPr>
                <w:p w14:paraId="4CB3F8A5">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71EB989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rPr>
                  </w:pPr>
                </w:p>
              </w:tc>
            </w:tr>
            <w:tr w14:paraId="73B4BB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3" w:type="pct"/>
                  <w:vAlign w:val="center"/>
                </w:tcPr>
                <w:p w14:paraId="1217014D">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w:t>
                  </w:r>
                </w:p>
              </w:tc>
              <w:tc>
                <w:tcPr>
                  <w:tcW w:w="900" w:type="pct"/>
                  <w:vAlign w:val="center"/>
                </w:tcPr>
                <w:p w14:paraId="25E7D18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倒棱机</w:t>
                  </w:r>
                </w:p>
              </w:tc>
              <w:tc>
                <w:tcPr>
                  <w:tcW w:w="771" w:type="pct"/>
                  <w:vAlign w:val="center"/>
                </w:tcPr>
                <w:p w14:paraId="29089E1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1620</w:t>
                  </w:r>
                </w:p>
              </w:tc>
              <w:tc>
                <w:tcPr>
                  <w:tcW w:w="638" w:type="pct"/>
                  <w:vAlign w:val="center"/>
                </w:tcPr>
                <w:p w14:paraId="5CED582C">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2</w:t>
                  </w:r>
                </w:p>
              </w:tc>
              <w:tc>
                <w:tcPr>
                  <w:tcW w:w="766" w:type="pct"/>
                  <w:vAlign w:val="center"/>
                </w:tcPr>
                <w:p w14:paraId="032A5A95">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1620</w:t>
                  </w:r>
                </w:p>
              </w:tc>
              <w:tc>
                <w:tcPr>
                  <w:tcW w:w="611" w:type="pct"/>
                  <w:vAlign w:val="center"/>
                </w:tcPr>
                <w:p w14:paraId="3DCD1389">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2</w:t>
                  </w:r>
                </w:p>
              </w:tc>
              <w:tc>
                <w:tcPr>
                  <w:tcW w:w="534" w:type="pct"/>
                  <w:vAlign w:val="center"/>
                </w:tcPr>
                <w:p w14:paraId="7F801C19">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6F5895F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eastAsia="宋体" w:cs="Times New Roman"/>
                      <w:color w:val="auto"/>
                      <w:sz w:val="21"/>
                      <w:szCs w:val="21"/>
                      <w:lang w:val="en-US" w:eastAsia="zh-CN"/>
                    </w:rPr>
                  </w:pPr>
                </w:p>
              </w:tc>
            </w:tr>
            <w:tr w14:paraId="562A05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3" w:type="pct"/>
                  <w:vAlign w:val="center"/>
                </w:tcPr>
                <w:p w14:paraId="768923B1">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900" w:type="pct"/>
                  <w:vAlign w:val="center"/>
                </w:tcPr>
                <w:p w14:paraId="0BE105B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电焊机</w:t>
                  </w:r>
                </w:p>
              </w:tc>
              <w:tc>
                <w:tcPr>
                  <w:tcW w:w="771" w:type="pct"/>
                  <w:vAlign w:val="center"/>
                </w:tcPr>
                <w:p w14:paraId="2D536D96">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w:t>
                  </w:r>
                </w:p>
              </w:tc>
              <w:tc>
                <w:tcPr>
                  <w:tcW w:w="638" w:type="pct"/>
                  <w:vAlign w:val="center"/>
                </w:tcPr>
                <w:p w14:paraId="381ADC03">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10</w:t>
                  </w:r>
                </w:p>
              </w:tc>
              <w:tc>
                <w:tcPr>
                  <w:tcW w:w="766" w:type="pct"/>
                  <w:vAlign w:val="center"/>
                </w:tcPr>
                <w:p w14:paraId="3EFC5171">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w:t>
                  </w:r>
                </w:p>
              </w:tc>
              <w:tc>
                <w:tcPr>
                  <w:tcW w:w="611" w:type="pct"/>
                  <w:vAlign w:val="center"/>
                </w:tcPr>
                <w:p w14:paraId="102EF1B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10</w:t>
                  </w:r>
                </w:p>
              </w:tc>
              <w:tc>
                <w:tcPr>
                  <w:tcW w:w="534" w:type="pct"/>
                  <w:vAlign w:val="center"/>
                </w:tcPr>
                <w:p w14:paraId="1295D47F">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6B14F50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eastAsia="宋体" w:cs="Times New Roman"/>
                      <w:color w:val="auto"/>
                      <w:sz w:val="21"/>
                      <w:szCs w:val="21"/>
                      <w:lang w:val="en-US" w:eastAsia="zh-CN"/>
                    </w:rPr>
                  </w:pPr>
                </w:p>
              </w:tc>
            </w:tr>
            <w:tr w14:paraId="289751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3" w:type="pct"/>
                  <w:vAlign w:val="center"/>
                </w:tcPr>
                <w:p w14:paraId="0EE434B8">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900" w:type="pct"/>
                  <w:vAlign w:val="center"/>
                </w:tcPr>
                <w:p w14:paraId="02F62DD8">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水压测试实验机</w:t>
                  </w:r>
                </w:p>
              </w:tc>
              <w:tc>
                <w:tcPr>
                  <w:tcW w:w="771" w:type="pct"/>
                  <w:vAlign w:val="center"/>
                </w:tcPr>
                <w:p w14:paraId="2C163313">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1820</w:t>
                  </w:r>
                </w:p>
              </w:tc>
              <w:tc>
                <w:tcPr>
                  <w:tcW w:w="638" w:type="pct"/>
                  <w:vAlign w:val="center"/>
                </w:tcPr>
                <w:p w14:paraId="2E746CD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11</w:t>
                  </w:r>
                </w:p>
              </w:tc>
              <w:tc>
                <w:tcPr>
                  <w:tcW w:w="766" w:type="pct"/>
                  <w:vAlign w:val="center"/>
                </w:tcPr>
                <w:p w14:paraId="6075BF5A">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1820</w:t>
                  </w:r>
                </w:p>
              </w:tc>
              <w:tc>
                <w:tcPr>
                  <w:tcW w:w="611" w:type="pct"/>
                  <w:vAlign w:val="center"/>
                </w:tcPr>
                <w:p w14:paraId="2D3FD273">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11</w:t>
                  </w:r>
                </w:p>
              </w:tc>
              <w:tc>
                <w:tcPr>
                  <w:tcW w:w="534" w:type="pct"/>
                  <w:vAlign w:val="center"/>
                </w:tcPr>
                <w:p w14:paraId="4089F2BD">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1EBA2DB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eastAsia="宋体" w:cs="Times New Roman"/>
                      <w:color w:val="auto"/>
                      <w:sz w:val="21"/>
                      <w:szCs w:val="21"/>
                      <w:lang w:val="en-US" w:eastAsia="zh-CN"/>
                    </w:rPr>
                  </w:pPr>
                </w:p>
              </w:tc>
            </w:tr>
            <w:tr w14:paraId="069C70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72E8DE02">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900" w:type="pct"/>
                  <w:vAlign w:val="center"/>
                </w:tcPr>
                <w:p w14:paraId="2546066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X光无损检测仪</w:t>
                  </w:r>
                </w:p>
              </w:tc>
              <w:tc>
                <w:tcPr>
                  <w:tcW w:w="771" w:type="pct"/>
                  <w:vAlign w:val="center"/>
                </w:tcPr>
                <w:p w14:paraId="21E0D0C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225型</w:t>
                  </w:r>
                </w:p>
              </w:tc>
              <w:tc>
                <w:tcPr>
                  <w:tcW w:w="638" w:type="pct"/>
                  <w:vAlign w:val="center"/>
                </w:tcPr>
                <w:p w14:paraId="6EB33A0F">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766" w:type="pct"/>
                  <w:vAlign w:val="center"/>
                </w:tcPr>
                <w:p w14:paraId="4C4B07D1">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225型</w:t>
                  </w:r>
                </w:p>
              </w:tc>
              <w:tc>
                <w:tcPr>
                  <w:tcW w:w="611" w:type="pct"/>
                  <w:vAlign w:val="center"/>
                </w:tcPr>
                <w:p w14:paraId="23C9F828">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534" w:type="pct"/>
                  <w:vAlign w:val="center"/>
                </w:tcPr>
                <w:p w14:paraId="1BB52A16">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4346B5A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eastAsia="宋体" w:cs="Times New Roman"/>
                      <w:color w:val="auto"/>
                      <w:kern w:val="2"/>
                      <w:sz w:val="21"/>
                      <w:szCs w:val="21"/>
                      <w:lang w:val="en-US" w:eastAsia="zh-CN" w:bidi="ar-SA"/>
                    </w:rPr>
                  </w:pPr>
                </w:p>
              </w:tc>
            </w:tr>
            <w:tr w14:paraId="037B50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190CF803">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w:t>
                  </w:r>
                </w:p>
              </w:tc>
              <w:tc>
                <w:tcPr>
                  <w:tcW w:w="900" w:type="pct"/>
                  <w:vAlign w:val="center"/>
                </w:tcPr>
                <w:p w14:paraId="0966DB1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内抛丸机(自带风机和布袋除尘器)</w:t>
                  </w:r>
                </w:p>
              </w:tc>
              <w:tc>
                <w:tcPr>
                  <w:tcW w:w="771" w:type="pct"/>
                  <w:vAlign w:val="center"/>
                </w:tcPr>
                <w:p w14:paraId="3F5A29E6">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德国力士乐</w:t>
                  </w:r>
                </w:p>
              </w:tc>
              <w:tc>
                <w:tcPr>
                  <w:tcW w:w="638" w:type="pct"/>
                  <w:vAlign w:val="center"/>
                </w:tcPr>
                <w:p w14:paraId="445D280C">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766" w:type="pct"/>
                  <w:vAlign w:val="center"/>
                </w:tcPr>
                <w:p w14:paraId="04D0AC45">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德国力士乐</w:t>
                  </w:r>
                </w:p>
              </w:tc>
              <w:tc>
                <w:tcPr>
                  <w:tcW w:w="611" w:type="pct"/>
                  <w:vAlign w:val="center"/>
                </w:tcPr>
                <w:p w14:paraId="384D82C2">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534" w:type="pct"/>
                  <w:vAlign w:val="center"/>
                </w:tcPr>
                <w:p w14:paraId="42216FB9">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05D9EF7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eastAsia="宋体" w:cs="Times New Roman"/>
                      <w:color w:val="auto"/>
                      <w:kern w:val="2"/>
                      <w:sz w:val="21"/>
                      <w:szCs w:val="21"/>
                      <w:lang w:val="en-US" w:eastAsia="zh-CN" w:bidi="ar-SA"/>
                    </w:rPr>
                  </w:pPr>
                </w:p>
              </w:tc>
            </w:tr>
            <w:tr w14:paraId="498988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07F68F53">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9</w:t>
                  </w:r>
                </w:p>
              </w:tc>
              <w:tc>
                <w:tcPr>
                  <w:tcW w:w="900" w:type="pct"/>
                  <w:vAlign w:val="center"/>
                </w:tcPr>
                <w:p w14:paraId="424ADD0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外抛丸机(自带风机和布袋除尘器)</w:t>
                  </w:r>
                </w:p>
              </w:tc>
              <w:tc>
                <w:tcPr>
                  <w:tcW w:w="771" w:type="pct"/>
                  <w:vAlign w:val="center"/>
                </w:tcPr>
                <w:p w14:paraId="6170256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德国力士乐</w:t>
                  </w:r>
                </w:p>
              </w:tc>
              <w:tc>
                <w:tcPr>
                  <w:tcW w:w="638" w:type="pct"/>
                  <w:vAlign w:val="center"/>
                </w:tcPr>
                <w:p w14:paraId="25D74F71">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766" w:type="pct"/>
                  <w:vAlign w:val="center"/>
                </w:tcPr>
                <w:p w14:paraId="1138C59A">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德国力士乐</w:t>
                  </w:r>
                </w:p>
              </w:tc>
              <w:tc>
                <w:tcPr>
                  <w:tcW w:w="611" w:type="pct"/>
                  <w:vAlign w:val="center"/>
                </w:tcPr>
                <w:p w14:paraId="23DFDC9C">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534" w:type="pct"/>
                  <w:vAlign w:val="center"/>
                </w:tcPr>
                <w:p w14:paraId="0F1A89AB">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15D5682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eastAsia="宋体" w:cs="Times New Roman"/>
                      <w:color w:val="auto"/>
                      <w:kern w:val="2"/>
                      <w:sz w:val="21"/>
                      <w:szCs w:val="21"/>
                      <w:lang w:val="en-US" w:eastAsia="zh-CN" w:bidi="ar-SA"/>
                    </w:rPr>
                  </w:pPr>
                </w:p>
              </w:tc>
            </w:tr>
            <w:tr w14:paraId="701DE8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4935E3F7">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10</w:t>
                  </w:r>
                </w:p>
              </w:tc>
              <w:tc>
                <w:tcPr>
                  <w:tcW w:w="900" w:type="pct"/>
                  <w:vAlign w:val="center"/>
                </w:tcPr>
                <w:p w14:paraId="6E33E52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中频加热设备</w:t>
                  </w:r>
                </w:p>
              </w:tc>
              <w:tc>
                <w:tcPr>
                  <w:tcW w:w="771" w:type="pct"/>
                  <w:vAlign w:val="center"/>
                </w:tcPr>
                <w:p w14:paraId="1F0A43CB">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1A1555B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3D1AA159">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608E906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34" w:type="pct"/>
                  <w:vAlign w:val="center"/>
                </w:tcPr>
                <w:p w14:paraId="3F5C618A">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6919605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2BF04C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1A156BEC">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11</w:t>
                  </w:r>
                </w:p>
              </w:tc>
              <w:tc>
                <w:tcPr>
                  <w:tcW w:w="900" w:type="pct"/>
                  <w:vAlign w:val="center"/>
                </w:tcPr>
                <w:p w14:paraId="6E6C994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喷塑缠绕水冷一体生产线</w:t>
                  </w:r>
                </w:p>
              </w:tc>
              <w:tc>
                <w:tcPr>
                  <w:tcW w:w="771" w:type="pct"/>
                  <w:vAlign w:val="center"/>
                </w:tcPr>
                <w:p w14:paraId="1C766103">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26DD56D1">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6560F4DF">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2EBD740B">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34" w:type="pct"/>
                  <w:vAlign w:val="center"/>
                </w:tcPr>
                <w:p w14:paraId="336D6D90">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60AB114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17AA6F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2C8F2DF5">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12</w:t>
                  </w:r>
                </w:p>
              </w:tc>
              <w:tc>
                <w:tcPr>
                  <w:tcW w:w="900" w:type="pct"/>
                  <w:vAlign w:val="center"/>
                </w:tcPr>
                <w:p w14:paraId="29B447A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喷漆房</w:t>
                  </w:r>
                </w:p>
              </w:tc>
              <w:tc>
                <w:tcPr>
                  <w:tcW w:w="771" w:type="pct"/>
                  <w:vAlign w:val="center"/>
                </w:tcPr>
                <w:p w14:paraId="0A474B3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16</w:t>
                  </w:r>
                  <w:r>
                    <w:rPr>
                      <w:rFonts w:hint="default" w:ascii="Times New Roman" w:hAnsi="Times New Roman" w:cs="Times New Roman"/>
                      <w:color w:val="auto"/>
                      <w:kern w:val="2"/>
                      <w:sz w:val="21"/>
                      <w:szCs w:val="21"/>
                      <w:highlight w:val="none"/>
                      <w:lang w:val="en-US" w:eastAsia="zh-CN" w:bidi="ar-SA"/>
                    </w:rPr>
                    <w:t>×</w:t>
                  </w:r>
                  <w:r>
                    <w:rPr>
                      <w:rFonts w:hint="default" w:ascii="Times New Roman" w:hAnsi="Times New Roman" w:cs="Times New Roman"/>
                      <w:color w:val="auto"/>
                      <w:sz w:val="21"/>
                      <w:szCs w:val="21"/>
                      <w:highlight w:val="none"/>
                      <w:lang w:val="en-US" w:eastAsia="zh-CN"/>
                    </w:rPr>
                    <w:t>21</w:t>
                  </w:r>
                  <w:r>
                    <w:rPr>
                      <w:rFonts w:hint="default" w:ascii="Times New Roman" w:hAnsi="Times New Roman" w:cs="Times New Roman"/>
                      <w:color w:val="auto"/>
                      <w:kern w:val="2"/>
                      <w:sz w:val="21"/>
                      <w:szCs w:val="21"/>
                      <w:highlight w:val="none"/>
                      <w:lang w:val="en-US" w:eastAsia="zh-CN" w:bidi="ar-SA"/>
                    </w:rPr>
                    <w:t>×</w:t>
                  </w:r>
                  <w:r>
                    <w:rPr>
                      <w:rFonts w:hint="default" w:ascii="Times New Roman" w:hAnsi="Times New Roman" w:cs="Times New Roman"/>
                      <w:color w:val="auto"/>
                      <w:sz w:val="21"/>
                      <w:szCs w:val="21"/>
                      <w:highlight w:val="none"/>
                      <w:lang w:val="en-US" w:eastAsia="zh-CN"/>
                    </w:rPr>
                    <w:t>14m</w:t>
                  </w:r>
                </w:p>
              </w:tc>
              <w:tc>
                <w:tcPr>
                  <w:tcW w:w="638" w:type="pct"/>
                  <w:vAlign w:val="center"/>
                </w:tcPr>
                <w:p w14:paraId="270EA65E">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6727923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1585B332">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p>
              </w:tc>
              <w:tc>
                <w:tcPr>
                  <w:tcW w:w="534" w:type="pct"/>
                  <w:vAlign w:val="center"/>
                </w:tcPr>
                <w:p w14:paraId="7BF380F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24" w:type="pct"/>
                  <w:vMerge w:val="continue"/>
                  <w:vAlign w:val="center"/>
                </w:tcPr>
                <w:p w14:paraId="331F4E6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146392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2CAE8787">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13</w:t>
                  </w:r>
                </w:p>
              </w:tc>
              <w:tc>
                <w:tcPr>
                  <w:tcW w:w="900" w:type="pct"/>
                  <w:vAlign w:val="center"/>
                </w:tcPr>
                <w:p w14:paraId="2D9B4F62">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搅拌机</w:t>
                  </w:r>
                </w:p>
              </w:tc>
              <w:tc>
                <w:tcPr>
                  <w:tcW w:w="771" w:type="pct"/>
                  <w:vAlign w:val="center"/>
                </w:tcPr>
                <w:p w14:paraId="0CF71851">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71A61240">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16A1B734">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7C4EA8F5">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p>
              </w:tc>
              <w:tc>
                <w:tcPr>
                  <w:tcW w:w="534" w:type="pct"/>
                  <w:vAlign w:val="center"/>
                </w:tcPr>
                <w:p w14:paraId="008A3A5F">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24" w:type="pct"/>
                  <w:vMerge w:val="continue"/>
                  <w:vAlign w:val="center"/>
                </w:tcPr>
                <w:p w14:paraId="3664248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733322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7DA6C9EF">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14</w:t>
                  </w:r>
                </w:p>
              </w:tc>
              <w:tc>
                <w:tcPr>
                  <w:tcW w:w="900" w:type="pct"/>
                  <w:vAlign w:val="center"/>
                </w:tcPr>
                <w:p w14:paraId="75D9174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喷漆小车</w:t>
                  </w:r>
                </w:p>
              </w:tc>
              <w:tc>
                <w:tcPr>
                  <w:tcW w:w="771" w:type="pct"/>
                  <w:vAlign w:val="center"/>
                </w:tcPr>
                <w:p w14:paraId="1A4AEE60">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7791C10E">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5CCC2CD0">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4DA9A739">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p>
              </w:tc>
              <w:tc>
                <w:tcPr>
                  <w:tcW w:w="534" w:type="pct"/>
                  <w:vAlign w:val="center"/>
                </w:tcPr>
                <w:p w14:paraId="109E7763">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24" w:type="pct"/>
                  <w:vMerge w:val="continue"/>
                  <w:vAlign w:val="center"/>
                </w:tcPr>
                <w:p w14:paraId="3CEDEA6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15612D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20C12EDD">
                  <w:pPr>
                    <w:pStyle w:val="121"/>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15</w:t>
                  </w:r>
                </w:p>
              </w:tc>
              <w:tc>
                <w:tcPr>
                  <w:tcW w:w="900" w:type="pct"/>
                  <w:vAlign w:val="center"/>
                </w:tcPr>
                <w:p w14:paraId="00FC21C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重型压弯机</w:t>
                  </w:r>
                </w:p>
              </w:tc>
              <w:tc>
                <w:tcPr>
                  <w:tcW w:w="771" w:type="pct"/>
                  <w:vAlign w:val="center"/>
                </w:tcPr>
                <w:p w14:paraId="314EC112">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2000T</w:t>
                  </w:r>
                </w:p>
              </w:tc>
              <w:tc>
                <w:tcPr>
                  <w:tcW w:w="638" w:type="pct"/>
                  <w:vAlign w:val="center"/>
                </w:tcPr>
                <w:p w14:paraId="2472F61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549223F5">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2000T</w:t>
                  </w:r>
                </w:p>
              </w:tc>
              <w:tc>
                <w:tcPr>
                  <w:tcW w:w="611" w:type="pct"/>
                  <w:vAlign w:val="center"/>
                </w:tcPr>
                <w:p w14:paraId="316737A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34" w:type="pct"/>
                  <w:vAlign w:val="center"/>
                </w:tcPr>
                <w:p w14:paraId="557B6EC1">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36081EE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7692C8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2BCD18DF">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16</w:t>
                  </w:r>
                </w:p>
              </w:tc>
              <w:tc>
                <w:tcPr>
                  <w:tcW w:w="900" w:type="pct"/>
                  <w:vAlign w:val="center"/>
                </w:tcPr>
                <w:p w14:paraId="0D1B3803">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三辊卷管机</w:t>
                  </w:r>
                </w:p>
              </w:tc>
              <w:tc>
                <w:tcPr>
                  <w:tcW w:w="771" w:type="pct"/>
                  <w:vAlign w:val="center"/>
                </w:tcPr>
                <w:p w14:paraId="66E207E9">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110型</w:t>
                  </w:r>
                </w:p>
              </w:tc>
              <w:tc>
                <w:tcPr>
                  <w:tcW w:w="638" w:type="pct"/>
                  <w:vAlign w:val="center"/>
                </w:tcPr>
                <w:p w14:paraId="7D3B9518">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69A6285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110型</w:t>
                  </w:r>
                </w:p>
              </w:tc>
              <w:tc>
                <w:tcPr>
                  <w:tcW w:w="611" w:type="pct"/>
                  <w:vAlign w:val="center"/>
                </w:tcPr>
                <w:p w14:paraId="518950EC">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34" w:type="pct"/>
                  <w:vAlign w:val="center"/>
                </w:tcPr>
                <w:p w14:paraId="3C705DFC">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3DFDF65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4D6C24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7B33298B">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17</w:t>
                  </w:r>
                </w:p>
              </w:tc>
              <w:tc>
                <w:tcPr>
                  <w:tcW w:w="900" w:type="pct"/>
                  <w:vAlign w:val="center"/>
                </w:tcPr>
                <w:p w14:paraId="3B25400E">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管机管道传输设备</w:t>
                  </w:r>
                </w:p>
              </w:tc>
              <w:tc>
                <w:tcPr>
                  <w:tcW w:w="771" w:type="pct"/>
                  <w:vAlign w:val="center"/>
                </w:tcPr>
                <w:p w14:paraId="47FEF37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3EAA16D4">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0528DDB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7A748AD4">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34" w:type="pct"/>
                  <w:vAlign w:val="center"/>
                </w:tcPr>
                <w:p w14:paraId="523113E9">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726D152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524DEC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7810E124">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18</w:t>
                  </w:r>
                </w:p>
              </w:tc>
              <w:tc>
                <w:tcPr>
                  <w:tcW w:w="900" w:type="pct"/>
                  <w:vAlign w:val="center"/>
                </w:tcPr>
                <w:p w14:paraId="63D73185">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行车</w:t>
                  </w:r>
                </w:p>
              </w:tc>
              <w:tc>
                <w:tcPr>
                  <w:tcW w:w="771" w:type="pct"/>
                  <w:vAlign w:val="center"/>
                </w:tcPr>
                <w:p w14:paraId="6761C2F6">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10T、20T、30T</w:t>
                  </w:r>
                </w:p>
              </w:tc>
              <w:tc>
                <w:tcPr>
                  <w:tcW w:w="638" w:type="pct"/>
                  <w:vAlign w:val="center"/>
                </w:tcPr>
                <w:p w14:paraId="0F52AB8D">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w:t>
                  </w:r>
                </w:p>
              </w:tc>
              <w:tc>
                <w:tcPr>
                  <w:tcW w:w="766" w:type="pct"/>
                  <w:vAlign w:val="center"/>
                </w:tcPr>
                <w:p w14:paraId="27C3C4B4">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10T、20T、30T</w:t>
                  </w:r>
                </w:p>
              </w:tc>
              <w:tc>
                <w:tcPr>
                  <w:tcW w:w="611" w:type="pct"/>
                  <w:vAlign w:val="center"/>
                </w:tcPr>
                <w:p w14:paraId="7176251C">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w:t>
                  </w:r>
                </w:p>
              </w:tc>
              <w:tc>
                <w:tcPr>
                  <w:tcW w:w="534" w:type="pct"/>
                  <w:vAlign w:val="center"/>
                </w:tcPr>
                <w:p w14:paraId="0DCDD455">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7CF6DA3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23BFC7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16A85437">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19</w:t>
                  </w:r>
                </w:p>
              </w:tc>
              <w:tc>
                <w:tcPr>
                  <w:tcW w:w="900" w:type="pct"/>
                  <w:vAlign w:val="center"/>
                </w:tcPr>
                <w:p w14:paraId="3E2E05EB">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空压机</w:t>
                  </w:r>
                </w:p>
              </w:tc>
              <w:tc>
                <w:tcPr>
                  <w:tcW w:w="771" w:type="pct"/>
                  <w:vAlign w:val="center"/>
                </w:tcPr>
                <w:p w14:paraId="7E446B7E">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4F762B31">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766" w:type="pct"/>
                  <w:vAlign w:val="center"/>
                </w:tcPr>
                <w:p w14:paraId="36E96614">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76103F6E">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534" w:type="pct"/>
                  <w:vAlign w:val="center"/>
                </w:tcPr>
                <w:p w14:paraId="04B8E7FE">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2BB2A81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4065B3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111911D5">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20</w:t>
                  </w:r>
                </w:p>
              </w:tc>
              <w:tc>
                <w:tcPr>
                  <w:tcW w:w="900" w:type="pct"/>
                  <w:vAlign w:val="center"/>
                </w:tcPr>
                <w:p w14:paraId="3CF5F0C3">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布袋除尘器</w:t>
                  </w:r>
                </w:p>
              </w:tc>
              <w:tc>
                <w:tcPr>
                  <w:tcW w:w="771" w:type="pct"/>
                  <w:vAlign w:val="center"/>
                </w:tcPr>
                <w:p w14:paraId="0A637C2C">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2F9BFA46">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30B6C38D">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042C2BB7">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34" w:type="pct"/>
                  <w:vAlign w:val="center"/>
                </w:tcPr>
                <w:p w14:paraId="2605F88A">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5ED918E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09783C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7B9D9751">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21</w:t>
                  </w:r>
                </w:p>
              </w:tc>
              <w:tc>
                <w:tcPr>
                  <w:tcW w:w="900" w:type="pct"/>
                  <w:vAlign w:val="center"/>
                </w:tcPr>
                <w:p w14:paraId="2A1AEBAB">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设备自带布袋除尘</w:t>
                  </w:r>
                </w:p>
              </w:tc>
              <w:tc>
                <w:tcPr>
                  <w:tcW w:w="771" w:type="pct"/>
                  <w:vAlign w:val="center"/>
                </w:tcPr>
                <w:p w14:paraId="73095842">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081DDE2B">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76C67CC2">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3110F102">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34" w:type="pct"/>
                  <w:vAlign w:val="center"/>
                </w:tcPr>
                <w:p w14:paraId="0186CA1A">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3C904A6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5A9428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7E5A026C">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22</w:t>
                  </w:r>
                </w:p>
              </w:tc>
              <w:tc>
                <w:tcPr>
                  <w:tcW w:w="900" w:type="pct"/>
                  <w:vAlign w:val="center"/>
                </w:tcPr>
                <w:p w14:paraId="4372894E">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布袋除尘器+二级活性炭吸附装置</w:t>
                  </w:r>
                </w:p>
              </w:tc>
              <w:tc>
                <w:tcPr>
                  <w:tcW w:w="771" w:type="pct"/>
                  <w:vAlign w:val="center"/>
                </w:tcPr>
                <w:p w14:paraId="300B6C4D">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480D1B0B">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04C1F5FE">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74780D2F">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34" w:type="pct"/>
                  <w:vAlign w:val="center"/>
                </w:tcPr>
                <w:p w14:paraId="300F6785">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w:t>
                  </w:r>
                </w:p>
              </w:tc>
              <w:tc>
                <w:tcPr>
                  <w:tcW w:w="524" w:type="pct"/>
                  <w:vMerge w:val="continue"/>
                  <w:vAlign w:val="center"/>
                </w:tcPr>
                <w:p w14:paraId="2CC07B9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371AAB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78CD5DDD">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23</w:t>
                  </w:r>
                </w:p>
              </w:tc>
              <w:tc>
                <w:tcPr>
                  <w:tcW w:w="900" w:type="pct"/>
                  <w:vAlign w:val="center"/>
                </w:tcPr>
                <w:p w14:paraId="4F3F0104">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干式过滤器+活性炭吸附+脱附+催化燃烧装置</w:t>
                  </w:r>
                </w:p>
              </w:tc>
              <w:tc>
                <w:tcPr>
                  <w:tcW w:w="771" w:type="pct"/>
                  <w:vAlign w:val="center"/>
                </w:tcPr>
                <w:p w14:paraId="2819C28D">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5BE8358E">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766" w:type="pct"/>
                  <w:vAlign w:val="center"/>
                </w:tcPr>
                <w:p w14:paraId="2DD59E5D">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58EFD74A">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w:t>
                  </w:r>
                </w:p>
              </w:tc>
              <w:tc>
                <w:tcPr>
                  <w:tcW w:w="534" w:type="pct"/>
                  <w:vAlign w:val="center"/>
                </w:tcPr>
                <w:p w14:paraId="43B670B6">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24" w:type="pct"/>
                  <w:vMerge w:val="continue"/>
                  <w:vAlign w:val="center"/>
                </w:tcPr>
                <w:p w14:paraId="6FCE0B3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r w14:paraId="682718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253" w:type="pct"/>
                  <w:vAlign w:val="center"/>
                </w:tcPr>
                <w:p w14:paraId="4ED72EE8">
                  <w:pPr>
                    <w:pStyle w:val="121"/>
                    <w:keepNext w:val="0"/>
                    <w:keepLines w:val="0"/>
                    <w:pageBreakBefore w:val="0"/>
                    <w:kinsoku/>
                    <w:wordWrap/>
                    <w:overflowPunct/>
                    <w:topLinePunct w:val="0"/>
                    <w:autoSpaceDE/>
                    <w:autoSpaceDN/>
                    <w:bidi w:val="0"/>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24</w:t>
                  </w:r>
                </w:p>
              </w:tc>
              <w:tc>
                <w:tcPr>
                  <w:tcW w:w="900" w:type="pct"/>
                  <w:vAlign w:val="center"/>
                </w:tcPr>
                <w:p w14:paraId="26199183">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废气环保设施配套风机</w:t>
                  </w:r>
                </w:p>
              </w:tc>
              <w:tc>
                <w:tcPr>
                  <w:tcW w:w="771" w:type="pct"/>
                  <w:vAlign w:val="center"/>
                </w:tcPr>
                <w:p w14:paraId="06F0FC44">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38" w:type="pct"/>
                  <w:vAlign w:val="center"/>
                </w:tcPr>
                <w:p w14:paraId="27445446">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8</w:t>
                  </w:r>
                </w:p>
              </w:tc>
              <w:tc>
                <w:tcPr>
                  <w:tcW w:w="766" w:type="pct"/>
                  <w:vAlign w:val="center"/>
                </w:tcPr>
                <w:p w14:paraId="4818F5FC">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11" w:type="pct"/>
                  <w:vAlign w:val="center"/>
                </w:tcPr>
                <w:p w14:paraId="0B227311">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w:t>
                  </w:r>
                </w:p>
              </w:tc>
              <w:tc>
                <w:tcPr>
                  <w:tcW w:w="534" w:type="pct"/>
                  <w:vAlign w:val="center"/>
                </w:tcPr>
                <w:p w14:paraId="7595A5B4">
                  <w:pPr>
                    <w:pStyle w:val="135"/>
                    <w:keepNext w:val="0"/>
                    <w:keepLines w:val="0"/>
                    <w:pageBreakBefore w:val="0"/>
                    <w:kinsoku/>
                    <w:wordWrap/>
                    <w:overflowPunct/>
                    <w:topLinePunct w:val="0"/>
                    <w:autoSpaceDE/>
                    <w:autoSpaceDN/>
                    <w:bidi w:val="0"/>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24" w:type="pct"/>
                  <w:vMerge w:val="continue"/>
                  <w:vAlign w:val="center"/>
                </w:tcPr>
                <w:p w14:paraId="11C6AC0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center"/>
                    <w:rPr>
                      <w:rFonts w:hint="default" w:ascii="Times New Roman" w:hAnsi="Times New Roman" w:cs="Times New Roman"/>
                      <w:color w:val="auto"/>
                      <w:sz w:val="21"/>
                      <w:szCs w:val="21"/>
                      <w:lang w:val="en-US" w:eastAsia="zh-CN"/>
                    </w:rPr>
                  </w:pPr>
                </w:p>
              </w:tc>
            </w:tr>
          </w:tbl>
          <w:p w14:paraId="3D7F6FAF">
            <w:pPr>
              <w:spacing w:line="360" w:lineRule="auto"/>
              <w:jc w:val="left"/>
              <w:rPr>
                <w:b/>
                <w:bCs/>
                <w:color w:val="auto"/>
                <w:sz w:val="24"/>
                <w:szCs w:val="24"/>
              </w:rPr>
            </w:pPr>
            <w:r>
              <w:rPr>
                <w:rFonts w:hint="eastAsia"/>
                <w:b/>
                <w:bCs/>
                <w:color w:val="auto"/>
                <w:sz w:val="24"/>
                <w:szCs w:val="24"/>
              </w:rPr>
              <w:t>2.</w:t>
            </w:r>
            <w:r>
              <w:rPr>
                <w:b/>
                <w:bCs/>
                <w:color w:val="auto"/>
                <w:sz w:val="24"/>
                <w:szCs w:val="24"/>
              </w:rPr>
              <w:t>4</w:t>
            </w:r>
            <w:r>
              <w:rPr>
                <w:rFonts w:hint="eastAsia"/>
                <w:b/>
                <w:bCs/>
                <w:color w:val="auto"/>
                <w:sz w:val="24"/>
                <w:szCs w:val="24"/>
              </w:rPr>
              <w:t xml:space="preserve"> 主要原辅材料及燃料</w:t>
            </w:r>
          </w:p>
          <w:p w14:paraId="67954EAF">
            <w:pPr>
              <w:adjustRightInd w:val="0"/>
              <w:snapToGrid w:val="0"/>
              <w:spacing w:line="360" w:lineRule="auto"/>
              <w:ind w:firstLine="480" w:firstLineChars="200"/>
              <w:rPr>
                <w:color w:val="auto"/>
                <w:sz w:val="24"/>
                <w:szCs w:val="24"/>
              </w:rPr>
            </w:pPr>
            <w:r>
              <w:rPr>
                <w:color w:val="auto"/>
                <w:sz w:val="24"/>
                <w:szCs w:val="24"/>
              </w:rPr>
              <w:t>建设项目</w:t>
            </w:r>
            <w:r>
              <w:rPr>
                <w:rFonts w:hint="eastAsia"/>
                <w:color w:val="auto"/>
                <w:sz w:val="24"/>
                <w:szCs w:val="24"/>
                <w:lang w:eastAsia="zh-CN"/>
              </w:rPr>
              <w:t>主要</w:t>
            </w:r>
            <w:r>
              <w:rPr>
                <w:color w:val="auto"/>
                <w:sz w:val="24"/>
                <w:szCs w:val="24"/>
              </w:rPr>
              <w:t>原辅材料和能源消耗情况见</w:t>
            </w:r>
            <w:r>
              <w:rPr>
                <w:rFonts w:hint="eastAsia"/>
                <w:color w:val="auto"/>
                <w:sz w:val="24"/>
                <w:szCs w:val="24"/>
                <w:lang w:eastAsia="zh-CN"/>
              </w:rPr>
              <w:t>下表</w:t>
            </w:r>
            <w:r>
              <w:rPr>
                <w:color w:val="auto"/>
                <w:sz w:val="24"/>
                <w:szCs w:val="24"/>
              </w:rPr>
              <w:t>。</w:t>
            </w:r>
          </w:p>
          <w:p w14:paraId="14EBA3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rPr>
              <w:t>表2-</w:t>
            </w:r>
            <w:r>
              <w:rPr>
                <w:rFonts w:hint="default" w:ascii="Times New Roman" w:hAnsi="Times New Roman" w:eastAsia="宋体" w:cs="Times New Roman"/>
                <w:b/>
                <w:color w:val="auto"/>
                <w:sz w:val="24"/>
                <w:lang w:val="en-US" w:eastAsia="zh-CN"/>
              </w:rPr>
              <w:t>5</w:t>
            </w:r>
            <w:r>
              <w:rPr>
                <w:rFonts w:hint="default" w:ascii="Times New Roman" w:hAnsi="Times New Roman" w:eastAsia="宋体" w:cs="Times New Roman"/>
                <w:b/>
                <w:color w:val="auto"/>
                <w:sz w:val="24"/>
              </w:rPr>
              <w:t xml:space="preserve"> 项目原辅材料消耗一览表</w:t>
            </w:r>
          </w:p>
          <w:tbl>
            <w:tblPr>
              <w:tblStyle w:val="35"/>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2382"/>
              <w:gridCol w:w="2107"/>
              <w:gridCol w:w="1874"/>
              <w:gridCol w:w="2341"/>
            </w:tblGrid>
            <w:tr w14:paraId="38E6D2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5" w:type="pct"/>
                  <w:vAlign w:val="center"/>
                </w:tcPr>
                <w:p w14:paraId="49CD1019">
                  <w:pPr>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序号</w:t>
                  </w:r>
                </w:p>
              </w:tc>
              <w:tc>
                <w:tcPr>
                  <w:tcW w:w="1265" w:type="pct"/>
                  <w:vAlign w:val="center"/>
                </w:tcPr>
                <w:p w14:paraId="0B9C901E">
                  <w:pPr>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名称</w:t>
                  </w:r>
                </w:p>
              </w:tc>
              <w:tc>
                <w:tcPr>
                  <w:tcW w:w="1119" w:type="pct"/>
                </w:tcPr>
                <w:p w14:paraId="4679F25C">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环评</w:t>
                  </w:r>
                  <w:r>
                    <w:rPr>
                      <w:rFonts w:hint="default" w:ascii="Times New Roman" w:hAnsi="Times New Roman" w:cs="Times New Roman"/>
                      <w:color w:val="auto"/>
                      <w:sz w:val="21"/>
                      <w:szCs w:val="21"/>
                      <w:highlight w:val="none"/>
                      <w:lang w:eastAsia="zh-CN"/>
                    </w:rPr>
                    <w:t>及批复</w:t>
                  </w:r>
                  <w:r>
                    <w:rPr>
                      <w:rFonts w:hint="default" w:ascii="Times New Roman" w:hAnsi="Times New Roman" w:cs="Times New Roman"/>
                      <w:color w:val="auto"/>
                      <w:sz w:val="21"/>
                      <w:szCs w:val="21"/>
                      <w:highlight w:val="none"/>
                    </w:rPr>
                    <w:t>年耗量</w:t>
                  </w:r>
                </w:p>
              </w:tc>
              <w:tc>
                <w:tcPr>
                  <w:tcW w:w="995" w:type="pct"/>
                  <w:vAlign w:val="center"/>
                </w:tcPr>
                <w:p w14:paraId="0880B162">
                  <w:pPr>
                    <w:keepNext w:val="0"/>
                    <w:keepLines w:val="0"/>
                    <w:pageBreakBefore w:val="0"/>
                    <w:widowControl w:val="0"/>
                    <w:kinsoku/>
                    <w:wordWrap/>
                    <w:overflowPunct/>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eastAsia"/>
                      <w:color w:val="auto"/>
                      <w:lang w:val="en-US" w:eastAsia="zh-CN"/>
                    </w:rPr>
                    <w:t>一期</w:t>
                  </w:r>
                  <w:r>
                    <w:rPr>
                      <w:color w:val="auto"/>
                      <w:kern w:val="0"/>
                      <w:sz w:val="21"/>
                      <w:szCs w:val="21"/>
                      <w:highlight w:val="none"/>
                    </w:rPr>
                    <w:t>实际年耗量</w:t>
                  </w:r>
                </w:p>
              </w:tc>
              <w:tc>
                <w:tcPr>
                  <w:tcW w:w="1243" w:type="pct"/>
                  <w:vAlign w:val="center"/>
                </w:tcPr>
                <w:p w14:paraId="59F04996">
                  <w:pPr>
                    <w:keepNext w:val="0"/>
                    <w:keepLines w:val="0"/>
                    <w:pageBreakBefore w:val="0"/>
                    <w:widowControl w:val="0"/>
                    <w:kinsoku/>
                    <w:wordWrap/>
                    <w:overflowPunct/>
                    <w:autoSpaceDE/>
                    <w:autoSpaceDN/>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eastAsia"/>
                      <w:color w:val="auto"/>
                    </w:rPr>
                    <w:t>不在本次验收年耗量</w:t>
                  </w:r>
                </w:p>
              </w:tc>
            </w:tr>
            <w:tr w14:paraId="06CDEF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75" w:type="pct"/>
                  <w:vAlign w:val="center"/>
                </w:tcPr>
                <w:p w14:paraId="780921E1">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1265" w:type="pct"/>
                  <w:vAlign w:val="center"/>
                </w:tcPr>
                <w:p w14:paraId="7D0757BF">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钢卷</w:t>
                  </w:r>
                </w:p>
              </w:tc>
              <w:tc>
                <w:tcPr>
                  <w:tcW w:w="1119" w:type="pct"/>
                  <w:vAlign w:val="center"/>
                </w:tcPr>
                <w:p w14:paraId="3902679C">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92260t</w:t>
                  </w:r>
                </w:p>
              </w:tc>
              <w:tc>
                <w:tcPr>
                  <w:tcW w:w="995" w:type="pct"/>
                  <w:vAlign w:val="center"/>
                </w:tcPr>
                <w:p w14:paraId="77497C59">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92260t</w:t>
                  </w:r>
                </w:p>
              </w:tc>
              <w:tc>
                <w:tcPr>
                  <w:tcW w:w="1243" w:type="pct"/>
                  <w:vAlign w:val="center"/>
                </w:tcPr>
                <w:p w14:paraId="74E21E51">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w:t>
                  </w:r>
                </w:p>
              </w:tc>
            </w:tr>
            <w:tr w14:paraId="419809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75" w:type="pct"/>
                  <w:vAlign w:val="center"/>
                </w:tcPr>
                <w:p w14:paraId="42993EB5">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w:t>
                  </w:r>
                </w:p>
              </w:tc>
              <w:tc>
                <w:tcPr>
                  <w:tcW w:w="1265" w:type="pct"/>
                  <w:vAlign w:val="center"/>
                </w:tcPr>
                <w:p w14:paraId="217995F9">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钢板</w:t>
                  </w:r>
                </w:p>
              </w:tc>
              <w:tc>
                <w:tcPr>
                  <w:tcW w:w="1119" w:type="pct"/>
                  <w:vAlign w:val="center"/>
                </w:tcPr>
                <w:p w14:paraId="77E36228">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108156t</w:t>
                  </w:r>
                </w:p>
              </w:tc>
              <w:tc>
                <w:tcPr>
                  <w:tcW w:w="995" w:type="pct"/>
                  <w:vAlign w:val="center"/>
                </w:tcPr>
                <w:p w14:paraId="5FB05939">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108156t</w:t>
                  </w:r>
                </w:p>
              </w:tc>
              <w:tc>
                <w:tcPr>
                  <w:tcW w:w="1243" w:type="pct"/>
                  <w:vAlign w:val="center"/>
                </w:tcPr>
                <w:p w14:paraId="331D28AB">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w:t>
                  </w:r>
                </w:p>
              </w:tc>
            </w:tr>
            <w:tr w14:paraId="6FBC62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784580E9">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p>
              </w:tc>
              <w:tc>
                <w:tcPr>
                  <w:tcW w:w="1265" w:type="pct"/>
                  <w:vAlign w:val="center"/>
                </w:tcPr>
                <w:p w14:paraId="6CC2C3E3">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助焊剂</w:t>
                  </w:r>
                </w:p>
              </w:tc>
              <w:tc>
                <w:tcPr>
                  <w:tcW w:w="1119" w:type="pct"/>
                  <w:vAlign w:val="center"/>
                </w:tcPr>
                <w:p w14:paraId="31932B31">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300t</w:t>
                  </w:r>
                </w:p>
              </w:tc>
              <w:tc>
                <w:tcPr>
                  <w:tcW w:w="995" w:type="pct"/>
                  <w:vAlign w:val="center"/>
                </w:tcPr>
                <w:p w14:paraId="7E657A18">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300t</w:t>
                  </w:r>
                </w:p>
              </w:tc>
              <w:tc>
                <w:tcPr>
                  <w:tcW w:w="1243" w:type="pct"/>
                  <w:vAlign w:val="center"/>
                </w:tcPr>
                <w:p w14:paraId="25FC7FD7">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w:t>
                  </w:r>
                </w:p>
              </w:tc>
            </w:tr>
            <w:tr w14:paraId="0ACCE4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3BF12F2D">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w:t>
                  </w:r>
                </w:p>
              </w:tc>
              <w:tc>
                <w:tcPr>
                  <w:tcW w:w="1265" w:type="pct"/>
                  <w:vAlign w:val="center"/>
                </w:tcPr>
                <w:p w14:paraId="3E4C19BB">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焊丝</w:t>
                  </w:r>
                </w:p>
              </w:tc>
              <w:tc>
                <w:tcPr>
                  <w:tcW w:w="1119" w:type="pct"/>
                  <w:vAlign w:val="center"/>
                </w:tcPr>
                <w:p w14:paraId="60C8E509">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300t</w:t>
                  </w:r>
                </w:p>
              </w:tc>
              <w:tc>
                <w:tcPr>
                  <w:tcW w:w="995" w:type="pct"/>
                  <w:vAlign w:val="center"/>
                </w:tcPr>
                <w:p w14:paraId="4CF34D13">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300t</w:t>
                  </w:r>
                </w:p>
              </w:tc>
              <w:tc>
                <w:tcPr>
                  <w:tcW w:w="1243" w:type="pct"/>
                  <w:vAlign w:val="center"/>
                </w:tcPr>
                <w:p w14:paraId="5D63D2B1">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w:t>
                  </w:r>
                </w:p>
              </w:tc>
            </w:tr>
            <w:tr w14:paraId="651EF41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5E86DFD8">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1265" w:type="pct"/>
                  <w:vAlign w:val="center"/>
                </w:tcPr>
                <w:p w14:paraId="35E4D960">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焊条</w:t>
                  </w:r>
                </w:p>
              </w:tc>
              <w:tc>
                <w:tcPr>
                  <w:tcW w:w="1119" w:type="pct"/>
                  <w:vAlign w:val="center"/>
                </w:tcPr>
                <w:p w14:paraId="36106081">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30t</w:t>
                  </w:r>
                </w:p>
              </w:tc>
              <w:tc>
                <w:tcPr>
                  <w:tcW w:w="995" w:type="pct"/>
                  <w:vAlign w:val="center"/>
                </w:tcPr>
                <w:p w14:paraId="142E228C">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30t</w:t>
                  </w:r>
                </w:p>
              </w:tc>
              <w:tc>
                <w:tcPr>
                  <w:tcW w:w="1243" w:type="pct"/>
                  <w:vAlign w:val="center"/>
                </w:tcPr>
                <w:p w14:paraId="6BA483DD">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w:t>
                  </w:r>
                </w:p>
              </w:tc>
            </w:tr>
            <w:tr w14:paraId="3B977E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440A195C">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1265" w:type="pct"/>
                  <w:vAlign w:val="center"/>
                </w:tcPr>
                <w:p w14:paraId="0964900F">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钢丸</w:t>
                  </w:r>
                </w:p>
              </w:tc>
              <w:tc>
                <w:tcPr>
                  <w:tcW w:w="1119" w:type="pct"/>
                  <w:vAlign w:val="center"/>
                </w:tcPr>
                <w:p w14:paraId="0B08C56B">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50t</w:t>
                  </w:r>
                </w:p>
              </w:tc>
              <w:tc>
                <w:tcPr>
                  <w:tcW w:w="995" w:type="pct"/>
                  <w:vAlign w:val="center"/>
                </w:tcPr>
                <w:p w14:paraId="14D587CC">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50t</w:t>
                  </w:r>
                </w:p>
              </w:tc>
              <w:tc>
                <w:tcPr>
                  <w:tcW w:w="1243" w:type="pct"/>
                  <w:vAlign w:val="center"/>
                </w:tcPr>
                <w:p w14:paraId="1257DE2B">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w:t>
                  </w:r>
                </w:p>
              </w:tc>
            </w:tr>
            <w:tr w14:paraId="6CD48C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233120C2">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7</w:t>
                  </w:r>
                </w:p>
              </w:tc>
              <w:tc>
                <w:tcPr>
                  <w:tcW w:w="1265" w:type="pct"/>
                  <w:vAlign w:val="center"/>
                </w:tcPr>
                <w:p w14:paraId="59CBCD0F">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EP（环氧树脂粉末）</w:t>
                  </w:r>
                </w:p>
              </w:tc>
              <w:tc>
                <w:tcPr>
                  <w:tcW w:w="1119" w:type="pct"/>
                  <w:vAlign w:val="center"/>
                </w:tcPr>
                <w:p w14:paraId="63EE0FBE">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134.08t</w:t>
                  </w:r>
                </w:p>
              </w:tc>
              <w:tc>
                <w:tcPr>
                  <w:tcW w:w="995" w:type="pct"/>
                  <w:vAlign w:val="center"/>
                </w:tcPr>
                <w:p w14:paraId="68B080E5">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134.08t</w:t>
                  </w:r>
                </w:p>
              </w:tc>
              <w:tc>
                <w:tcPr>
                  <w:tcW w:w="1243" w:type="pct"/>
                  <w:vAlign w:val="center"/>
                </w:tcPr>
                <w:p w14:paraId="3DEDF982">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w:t>
                  </w:r>
                </w:p>
              </w:tc>
            </w:tr>
            <w:tr w14:paraId="127B11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72813843">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8</w:t>
                  </w:r>
                </w:p>
              </w:tc>
              <w:tc>
                <w:tcPr>
                  <w:tcW w:w="1265" w:type="pct"/>
                  <w:vAlign w:val="center"/>
                </w:tcPr>
                <w:p w14:paraId="6618FD33">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胶带</w:t>
                  </w:r>
                </w:p>
              </w:tc>
              <w:tc>
                <w:tcPr>
                  <w:tcW w:w="1119" w:type="pct"/>
                  <w:vAlign w:val="center"/>
                </w:tcPr>
                <w:p w14:paraId="0E88536B">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10.68t</w:t>
                  </w:r>
                </w:p>
              </w:tc>
              <w:tc>
                <w:tcPr>
                  <w:tcW w:w="995" w:type="pct"/>
                  <w:vAlign w:val="center"/>
                </w:tcPr>
                <w:p w14:paraId="4B59BC3C">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10.68t</w:t>
                  </w:r>
                </w:p>
              </w:tc>
              <w:tc>
                <w:tcPr>
                  <w:tcW w:w="1243" w:type="pct"/>
                  <w:vAlign w:val="center"/>
                </w:tcPr>
                <w:p w14:paraId="79F9C557">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w:t>
                  </w:r>
                </w:p>
              </w:tc>
            </w:tr>
            <w:tr w14:paraId="51D1EC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4A3178EF">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9</w:t>
                  </w:r>
                </w:p>
              </w:tc>
              <w:tc>
                <w:tcPr>
                  <w:tcW w:w="1265" w:type="pct"/>
                  <w:vAlign w:val="center"/>
                </w:tcPr>
                <w:p w14:paraId="6527B52C">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PE（聚乙烯）带</w:t>
                  </w:r>
                </w:p>
              </w:tc>
              <w:tc>
                <w:tcPr>
                  <w:tcW w:w="1119" w:type="pct"/>
                  <w:vAlign w:val="center"/>
                </w:tcPr>
                <w:p w14:paraId="7DB4051E">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107.93</w:t>
                  </w:r>
                  <w:r>
                    <w:rPr>
                      <w:rFonts w:hint="eastAsia" w:cs="Times New Roman"/>
                      <w:color w:val="auto"/>
                      <w:kern w:val="2"/>
                      <w:sz w:val="21"/>
                      <w:szCs w:val="21"/>
                      <w:lang w:val="en-US" w:eastAsia="zh-CN" w:bidi="ar-SA"/>
                    </w:rPr>
                    <w:t>t</w:t>
                  </w:r>
                </w:p>
              </w:tc>
              <w:tc>
                <w:tcPr>
                  <w:tcW w:w="995" w:type="pct"/>
                  <w:vAlign w:val="center"/>
                </w:tcPr>
                <w:p w14:paraId="3CDFFC02">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107.93</w:t>
                  </w:r>
                  <w:r>
                    <w:rPr>
                      <w:rFonts w:hint="eastAsia" w:cs="Times New Roman"/>
                      <w:color w:val="auto"/>
                      <w:kern w:val="2"/>
                      <w:sz w:val="21"/>
                      <w:szCs w:val="21"/>
                      <w:lang w:val="en-US" w:eastAsia="zh-CN" w:bidi="ar-SA"/>
                    </w:rPr>
                    <w:t>t</w:t>
                  </w:r>
                </w:p>
              </w:tc>
              <w:tc>
                <w:tcPr>
                  <w:tcW w:w="1243" w:type="pct"/>
                  <w:vAlign w:val="center"/>
                </w:tcPr>
                <w:p w14:paraId="01ADA203">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lang w:val="en-US" w:eastAsia="zh-CN" w:bidi="ar-SA"/>
                    </w:rPr>
                    <w:t>0</w:t>
                  </w:r>
                </w:p>
              </w:tc>
            </w:tr>
            <w:tr w14:paraId="2E5B52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0D6F93F2">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10</w:t>
                  </w:r>
                </w:p>
              </w:tc>
              <w:tc>
                <w:tcPr>
                  <w:tcW w:w="1265" w:type="pct"/>
                  <w:vAlign w:val="center"/>
                </w:tcPr>
                <w:p w14:paraId="4F3FF786">
                  <w:pPr>
                    <w:widowControl/>
                    <w:jc w:val="center"/>
                    <w:textAlignment w:val="center"/>
                    <w:rPr>
                      <w:rFonts w:hint="default" w:ascii="Times New Roman" w:hAnsi="Times New Roman" w:cs="Times New Roman"/>
                      <w:color w:val="auto"/>
                      <w:sz w:val="21"/>
                      <w:szCs w:val="21"/>
                      <w:highlight w:val="none"/>
                      <w:lang w:eastAsia="zh-CN"/>
                    </w:rPr>
                  </w:pPr>
                  <w:r>
                    <w:rPr>
                      <w:rFonts w:hint="eastAsia" w:cs="Times New Roman"/>
                      <w:color w:val="auto"/>
                      <w:sz w:val="21"/>
                      <w:szCs w:val="21"/>
                      <w:highlight w:val="none"/>
                      <w:lang w:eastAsia="zh-CN"/>
                    </w:rPr>
                    <w:t>油漆</w:t>
                  </w:r>
                </w:p>
              </w:tc>
              <w:tc>
                <w:tcPr>
                  <w:tcW w:w="1119" w:type="pct"/>
                  <w:vAlign w:val="center"/>
                </w:tcPr>
                <w:p w14:paraId="06E682DE">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3.02</w:t>
                  </w:r>
                  <w:r>
                    <w:rPr>
                      <w:rFonts w:hint="eastAsia" w:cs="Times New Roman"/>
                      <w:color w:val="auto"/>
                      <w:kern w:val="2"/>
                      <w:sz w:val="21"/>
                      <w:szCs w:val="21"/>
                      <w:lang w:val="en-US" w:eastAsia="zh-CN" w:bidi="ar-SA"/>
                    </w:rPr>
                    <w:t>t</w:t>
                  </w:r>
                </w:p>
              </w:tc>
              <w:tc>
                <w:tcPr>
                  <w:tcW w:w="995" w:type="pct"/>
                  <w:vAlign w:val="center"/>
                </w:tcPr>
                <w:p w14:paraId="19BCDD7C">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243" w:type="pct"/>
                  <w:vAlign w:val="center"/>
                </w:tcPr>
                <w:p w14:paraId="290CE6EB">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3.02</w:t>
                  </w:r>
                  <w:r>
                    <w:rPr>
                      <w:rFonts w:hint="eastAsia" w:cs="Times New Roman"/>
                      <w:color w:val="auto"/>
                      <w:kern w:val="2"/>
                      <w:sz w:val="21"/>
                      <w:szCs w:val="21"/>
                      <w:lang w:val="en-US" w:eastAsia="zh-CN" w:bidi="ar-SA"/>
                    </w:rPr>
                    <w:t>t</w:t>
                  </w:r>
                </w:p>
              </w:tc>
            </w:tr>
            <w:tr w14:paraId="0DBD10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67AB7C10">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11</w:t>
                  </w:r>
                </w:p>
              </w:tc>
              <w:tc>
                <w:tcPr>
                  <w:tcW w:w="1265" w:type="pct"/>
                  <w:vAlign w:val="center"/>
                </w:tcPr>
                <w:p w14:paraId="3073B54D">
                  <w:pPr>
                    <w:widowControl/>
                    <w:jc w:val="center"/>
                    <w:textAlignment w:val="center"/>
                    <w:rPr>
                      <w:rFonts w:hint="default" w:ascii="Times New Roman" w:hAnsi="Times New Roman" w:cs="Times New Roman"/>
                      <w:color w:val="auto"/>
                      <w:sz w:val="21"/>
                      <w:szCs w:val="21"/>
                      <w:highlight w:val="none"/>
                      <w:lang w:eastAsia="zh-CN"/>
                    </w:rPr>
                  </w:pPr>
                  <w:r>
                    <w:rPr>
                      <w:rFonts w:hint="eastAsia" w:cs="Times New Roman"/>
                      <w:color w:val="auto"/>
                      <w:sz w:val="21"/>
                      <w:szCs w:val="21"/>
                      <w:highlight w:val="none"/>
                      <w:lang w:eastAsia="zh-CN"/>
                    </w:rPr>
                    <w:t>稀释剂</w:t>
                  </w:r>
                </w:p>
              </w:tc>
              <w:tc>
                <w:tcPr>
                  <w:tcW w:w="1119" w:type="pct"/>
                  <w:vAlign w:val="center"/>
                </w:tcPr>
                <w:p w14:paraId="105782F3">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0.76</w:t>
                  </w:r>
                  <w:r>
                    <w:rPr>
                      <w:rFonts w:hint="eastAsia" w:cs="Times New Roman"/>
                      <w:color w:val="auto"/>
                      <w:kern w:val="2"/>
                      <w:sz w:val="21"/>
                      <w:szCs w:val="21"/>
                      <w:lang w:val="en-US" w:eastAsia="zh-CN" w:bidi="ar-SA"/>
                    </w:rPr>
                    <w:t>t</w:t>
                  </w:r>
                </w:p>
              </w:tc>
              <w:tc>
                <w:tcPr>
                  <w:tcW w:w="995" w:type="pct"/>
                  <w:vAlign w:val="center"/>
                </w:tcPr>
                <w:p w14:paraId="0232D612">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243" w:type="pct"/>
                  <w:vAlign w:val="center"/>
                </w:tcPr>
                <w:p w14:paraId="2FCDA2F6">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0.76</w:t>
                  </w:r>
                  <w:r>
                    <w:rPr>
                      <w:rFonts w:hint="eastAsia" w:cs="Times New Roman"/>
                      <w:color w:val="auto"/>
                      <w:kern w:val="2"/>
                      <w:sz w:val="21"/>
                      <w:szCs w:val="21"/>
                      <w:lang w:val="en-US" w:eastAsia="zh-CN" w:bidi="ar-SA"/>
                    </w:rPr>
                    <w:t>t</w:t>
                  </w:r>
                </w:p>
              </w:tc>
            </w:tr>
            <w:tr w14:paraId="07E8EC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0B56D2E2">
                  <w:pPr>
                    <w:pStyle w:val="121"/>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p>
              </w:tc>
              <w:tc>
                <w:tcPr>
                  <w:tcW w:w="1265" w:type="pct"/>
                  <w:vAlign w:val="center"/>
                </w:tcPr>
                <w:p w14:paraId="0CF18768">
                  <w:pPr>
                    <w:widowControl/>
                    <w:jc w:val="center"/>
                    <w:textAlignment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固化剂</w:t>
                  </w:r>
                </w:p>
              </w:tc>
              <w:tc>
                <w:tcPr>
                  <w:tcW w:w="1119" w:type="pct"/>
                  <w:vAlign w:val="center"/>
                </w:tcPr>
                <w:p w14:paraId="52454BD8">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0.76</w:t>
                  </w:r>
                  <w:r>
                    <w:rPr>
                      <w:rFonts w:hint="eastAsia" w:cs="Times New Roman"/>
                      <w:color w:val="auto"/>
                      <w:kern w:val="2"/>
                      <w:sz w:val="21"/>
                      <w:szCs w:val="21"/>
                      <w:lang w:val="en-US" w:eastAsia="zh-CN" w:bidi="ar-SA"/>
                    </w:rPr>
                    <w:t>t</w:t>
                  </w:r>
                </w:p>
              </w:tc>
              <w:tc>
                <w:tcPr>
                  <w:tcW w:w="995" w:type="pct"/>
                  <w:vAlign w:val="center"/>
                </w:tcPr>
                <w:p w14:paraId="54311582">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243" w:type="pct"/>
                  <w:vAlign w:val="center"/>
                </w:tcPr>
                <w:p w14:paraId="069D10BC">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0.76</w:t>
                  </w:r>
                  <w:r>
                    <w:rPr>
                      <w:rFonts w:hint="eastAsia" w:cs="Times New Roman"/>
                      <w:color w:val="auto"/>
                      <w:kern w:val="2"/>
                      <w:sz w:val="21"/>
                      <w:szCs w:val="21"/>
                      <w:lang w:val="en-US" w:eastAsia="zh-CN" w:bidi="ar-SA"/>
                    </w:rPr>
                    <w:t>t</w:t>
                  </w:r>
                </w:p>
              </w:tc>
            </w:tr>
            <w:tr w14:paraId="4812A1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1189EE55">
                  <w:pPr>
                    <w:pStyle w:val="121"/>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w:t>
                  </w:r>
                </w:p>
              </w:tc>
              <w:tc>
                <w:tcPr>
                  <w:tcW w:w="1265" w:type="pct"/>
                  <w:vAlign w:val="center"/>
                </w:tcPr>
                <w:p w14:paraId="4B68BC5A">
                  <w:pPr>
                    <w:widowControl/>
                    <w:jc w:val="center"/>
                    <w:textAlignment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液压油</w:t>
                  </w:r>
                </w:p>
              </w:tc>
              <w:tc>
                <w:tcPr>
                  <w:tcW w:w="1119" w:type="pct"/>
                  <w:vAlign w:val="center"/>
                </w:tcPr>
                <w:p w14:paraId="3471A2EE">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0.2</w:t>
                  </w:r>
                  <w:r>
                    <w:rPr>
                      <w:rFonts w:hint="eastAsia" w:cs="Times New Roman"/>
                      <w:color w:val="auto"/>
                      <w:kern w:val="2"/>
                      <w:sz w:val="21"/>
                      <w:szCs w:val="21"/>
                      <w:lang w:val="en-US" w:eastAsia="zh-CN" w:bidi="ar-SA"/>
                    </w:rPr>
                    <w:t>t</w:t>
                  </w:r>
                </w:p>
              </w:tc>
              <w:tc>
                <w:tcPr>
                  <w:tcW w:w="995" w:type="pct"/>
                  <w:vAlign w:val="center"/>
                </w:tcPr>
                <w:p w14:paraId="1142557D">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0.2</w:t>
                  </w:r>
                  <w:r>
                    <w:rPr>
                      <w:rFonts w:hint="eastAsia" w:cs="Times New Roman"/>
                      <w:color w:val="auto"/>
                      <w:kern w:val="2"/>
                      <w:sz w:val="21"/>
                      <w:szCs w:val="21"/>
                      <w:lang w:val="en-US" w:eastAsia="zh-CN" w:bidi="ar-SA"/>
                    </w:rPr>
                    <w:t>t</w:t>
                  </w:r>
                </w:p>
              </w:tc>
              <w:tc>
                <w:tcPr>
                  <w:tcW w:w="1243" w:type="pct"/>
                  <w:vAlign w:val="center"/>
                </w:tcPr>
                <w:p w14:paraId="5EE35A1F">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14:paraId="7105FA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0781CBC2">
                  <w:pPr>
                    <w:pStyle w:val="121"/>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w:t>
                  </w:r>
                </w:p>
              </w:tc>
              <w:tc>
                <w:tcPr>
                  <w:tcW w:w="1265" w:type="pct"/>
                  <w:vAlign w:val="center"/>
                </w:tcPr>
                <w:p w14:paraId="67D9E1A0">
                  <w:pPr>
                    <w:widowControl/>
                    <w:jc w:val="center"/>
                    <w:textAlignment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润滑油</w:t>
                  </w:r>
                </w:p>
              </w:tc>
              <w:tc>
                <w:tcPr>
                  <w:tcW w:w="1119" w:type="pct"/>
                  <w:vAlign w:val="center"/>
                </w:tcPr>
                <w:p w14:paraId="1011BC75">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w:t>
                  </w:r>
                  <w:r>
                    <w:rPr>
                      <w:rFonts w:hint="eastAsia" w:cs="Times New Roman"/>
                      <w:color w:val="auto"/>
                      <w:kern w:val="2"/>
                      <w:sz w:val="21"/>
                      <w:szCs w:val="21"/>
                      <w:lang w:val="en-US" w:eastAsia="zh-CN" w:bidi="ar-SA"/>
                    </w:rPr>
                    <w:t>t</w:t>
                  </w:r>
                </w:p>
              </w:tc>
              <w:tc>
                <w:tcPr>
                  <w:tcW w:w="995" w:type="pct"/>
                  <w:vAlign w:val="center"/>
                </w:tcPr>
                <w:p w14:paraId="5E79977B">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w:t>
                  </w:r>
                  <w:r>
                    <w:rPr>
                      <w:rFonts w:hint="eastAsia" w:cs="Times New Roman"/>
                      <w:color w:val="auto"/>
                      <w:kern w:val="2"/>
                      <w:sz w:val="21"/>
                      <w:szCs w:val="21"/>
                      <w:lang w:val="en-US" w:eastAsia="zh-CN" w:bidi="ar-SA"/>
                    </w:rPr>
                    <w:t>t</w:t>
                  </w:r>
                </w:p>
              </w:tc>
              <w:tc>
                <w:tcPr>
                  <w:tcW w:w="1243" w:type="pct"/>
                  <w:vAlign w:val="center"/>
                </w:tcPr>
                <w:p w14:paraId="2E94B347">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14:paraId="697EEED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379B25D0">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c>
                <w:tcPr>
                  <w:tcW w:w="1265" w:type="pct"/>
                  <w:vAlign w:val="center"/>
                </w:tcPr>
                <w:p w14:paraId="1754DA9C">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新鲜水</w:t>
                  </w:r>
                </w:p>
              </w:tc>
              <w:tc>
                <w:tcPr>
                  <w:tcW w:w="1119" w:type="pct"/>
                  <w:vAlign w:val="center"/>
                </w:tcPr>
                <w:p w14:paraId="434A6376">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3900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p>
              </w:tc>
              <w:tc>
                <w:tcPr>
                  <w:tcW w:w="995" w:type="pct"/>
                  <w:vAlign w:val="center"/>
                </w:tcPr>
                <w:p w14:paraId="3670494F">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3900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p>
              </w:tc>
              <w:tc>
                <w:tcPr>
                  <w:tcW w:w="1243" w:type="pct"/>
                  <w:vAlign w:val="center"/>
                </w:tcPr>
                <w:p w14:paraId="4845B7EB">
                  <w:pPr>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14:paraId="2E770E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4A2B3D8A">
                  <w:pPr>
                    <w:pStyle w:val="121"/>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6</w:t>
                  </w:r>
                </w:p>
              </w:tc>
              <w:tc>
                <w:tcPr>
                  <w:tcW w:w="1265" w:type="pct"/>
                  <w:vAlign w:val="center"/>
                </w:tcPr>
                <w:p w14:paraId="6780CB9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highlight w:val="none"/>
                      <w:lang w:eastAsia="zh-CN"/>
                    </w:rPr>
                    <w:t>电</w:t>
                  </w:r>
                </w:p>
              </w:tc>
              <w:tc>
                <w:tcPr>
                  <w:tcW w:w="1119" w:type="pct"/>
                  <w:vAlign w:val="center"/>
                </w:tcPr>
                <w:p w14:paraId="25F9759B">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200</w:t>
                  </w:r>
                  <w:r>
                    <w:rPr>
                      <w:rFonts w:hint="default" w:ascii="Times New Roman" w:hAnsi="Times New Roman" w:cs="Times New Roman"/>
                      <w:color w:val="auto"/>
                      <w:sz w:val="21"/>
                      <w:szCs w:val="21"/>
                      <w:highlight w:val="none"/>
                      <w:lang w:val="en-US" w:eastAsia="zh-CN"/>
                    </w:rPr>
                    <w:t>万kW•h</w:t>
                  </w:r>
                </w:p>
              </w:tc>
              <w:tc>
                <w:tcPr>
                  <w:tcW w:w="995" w:type="pct"/>
                  <w:vAlign w:val="center"/>
                </w:tcPr>
                <w:p w14:paraId="648D2214">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200</w:t>
                  </w:r>
                  <w:r>
                    <w:rPr>
                      <w:rFonts w:hint="default" w:ascii="Times New Roman" w:hAnsi="Times New Roman" w:cs="Times New Roman"/>
                      <w:color w:val="auto"/>
                      <w:sz w:val="21"/>
                      <w:szCs w:val="21"/>
                      <w:highlight w:val="none"/>
                      <w:lang w:val="en-US" w:eastAsia="zh-CN"/>
                    </w:rPr>
                    <w:t>万kW•h</w:t>
                  </w:r>
                </w:p>
              </w:tc>
              <w:tc>
                <w:tcPr>
                  <w:tcW w:w="1243" w:type="pct"/>
                  <w:vAlign w:val="center"/>
                </w:tcPr>
                <w:p w14:paraId="3CEF05C5">
                  <w:pPr>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bl>
          <w:p w14:paraId="050BA49C">
            <w:pPr>
              <w:spacing w:line="360" w:lineRule="auto"/>
              <w:jc w:val="left"/>
              <w:rPr>
                <w:b/>
                <w:bCs/>
                <w:color w:val="auto"/>
                <w:sz w:val="24"/>
                <w:szCs w:val="24"/>
              </w:rPr>
            </w:pPr>
            <w:r>
              <w:rPr>
                <w:rFonts w:hint="eastAsia"/>
                <w:b/>
                <w:bCs/>
                <w:color w:val="auto"/>
                <w:sz w:val="24"/>
                <w:szCs w:val="24"/>
              </w:rPr>
              <w:t>2.</w:t>
            </w:r>
            <w:r>
              <w:rPr>
                <w:b/>
                <w:bCs/>
                <w:color w:val="auto"/>
                <w:sz w:val="24"/>
                <w:szCs w:val="24"/>
              </w:rPr>
              <w:t>5</w:t>
            </w:r>
            <w:r>
              <w:rPr>
                <w:rFonts w:hint="eastAsia"/>
                <w:b/>
                <w:bCs/>
                <w:color w:val="auto"/>
                <w:sz w:val="24"/>
                <w:szCs w:val="24"/>
              </w:rPr>
              <w:t>项目公用工程</w:t>
            </w:r>
          </w:p>
          <w:p w14:paraId="74A72360">
            <w:pPr>
              <w:adjustRightInd w:val="0"/>
              <w:snapToGrid/>
              <w:spacing w:line="360" w:lineRule="auto"/>
              <w:ind w:firstLine="480" w:firstLineChars="200"/>
              <w:rPr>
                <w:color w:val="auto"/>
                <w:sz w:val="24"/>
                <w:szCs w:val="24"/>
              </w:rPr>
            </w:pPr>
            <w:r>
              <w:rPr>
                <w:rFonts w:hint="eastAsia"/>
                <w:color w:val="auto"/>
                <w:sz w:val="24"/>
                <w:szCs w:val="24"/>
                <w:lang w:val="en-US" w:eastAsia="zh-CN"/>
              </w:rPr>
              <w:t>1</w:t>
            </w:r>
            <w:r>
              <w:rPr>
                <w:color w:val="auto"/>
                <w:sz w:val="24"/>
                <w:szCs w:val="24"/>
              </w:rPr>
              <w:t>、给排水</w:t>
            </w:r>
          </w:p>
          <w:p w14:paraId="6788A536">
            <w:pPr>
              <w:adjustRightInd w:val="0"/>
              <w:snapToGrid/>
              <w:spacing w:line="360" w:lineRule="auto"/>
              <w:ind w:firstLine="480" w:firstLineChars="200"/>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给水：</w:t>
            </w:r>
            <w:r>
              <w:rPr>
                <w:color w:val="auto"/>
                <w:sz w:val="24"/>
              </w:rPr>
              <w:t>本项目</w:t>
            </w:r>
            <w:r>
              <w:rPr>
                <w:rFonts w:hint="eastAsia"/>
                <w:color w:val="auto"/>
                <w:sz w:val="24"/>
                <w:lang w:eastAsia="zh-CN"/>
              </w:rPr>
              <w:t>由市政管网供水</w:t>
            </w:r>
            <w:r>
              <w:rPr>
                <w:color w:val="auto"/>
                <w:sz w:val="24"/>
              </w:rPr>
              <w:t>，</w:t>
            </w:r>
            <w:r>
              <w:rPr>
                <w:rFonts w:hint="eastAsia"/>
                <w:color w:val="auto"/>
                <w:sz w:val="24"/>
                <w:lang w:eastAsia="zh-CN"/>
              </w:rPr>
              <w:t>项目用水主要为水压测试用水、水冷定形用水、生活用水</w:t>
            </w:r>
            <w:r>
              <w:rPr>
                <w:rFonts w:hint="default" w:ascii="Times New Roman" w:hAnsi="Times New Roman" w:eastAsia="宋体" w:cs="Times New Roman"/>
                <w:color w:val="auto"/>
                <w:sz w:val="24"/>
                <w:szCs w:val="24"/>
                <w:highlight w:val="none"/>
              </w:rPr>
              <w:t>。</w:t>
            </w:r>
          </w:p>
          <w:p w14:paraId="6D9A106D">
            <w:pPr>
              <w:adjustRightInd w:val="0"/>
              <w:snapToGrid/>
              <w:spacing w:line="360" w:lineRule="auto"/>
              <w:ind w:firstLine="480" w:firstLineChars="200"/>
              <w:rPr>
                <w:rFonts w:hint="eastAsia"/>
                <w:color w:val="auto"/>
                <w:sz w:val="24"/>
                <w:lang w:eastAsia="zh-CN"/>
              </w:rPr>
            </w:pPr>
            <w:r>
              <w:rPr>
                <w:rFonts w:hint="eastAsia"/>
                <w:color w:val="auto"/>
                <w:sz w:val="24"/>
                <w:lang w:val="en-US" w:eastAsia="zh-CN"/>
              </w:rPr>
              <w:t>1）</w:t>
            </w:r>
            <w:r>
              <w:rPr>
                <w:rFonts w:hint="eastAsia"/>
                <w:color w:val="auto"/>
                <w:sz w:val="24"/>
                <w:lang w:eastAsia="zh-CN"/>
              </w:rPr>
              <w:t>水压测试用水</w:t>
            </w:r>
          </w:p>
          <w:p w14:paraId="739082DA">
            <w:pPr>
              <w:adjustRightInd w:val="0"/>
              <w:snapToGrid/>
              <w:spacing w:line="360" w:lineRule="auto"/>
              <w:ind w:firstLine="480" w:firstLineChars="200"/>
              <w:rPr>
                <w:rFonts w:hint="default"/>
                <w:color w:val="auto"/>
                <w:sz w:val="24"/>
                <w:lang w:val="en-US" w:eastAsia="zh-CN"/>
              </w:rPr>
            </w:pPr>
            <w:r>
              <w:rPr>
                <w:rFonts w:hint="eastAsia"/>
                <w:color w:val="auto"/>
                <w:sz w:val="24"/>
                <w:lang w:eastAsia="zh-CN"/>
              </w:rPr>
              <w:t>本项目水压测试区设置1个30</w:t>
            </w:r>
            <w:r>
              <w:rPr>
                <w:rFonts w:hint="eastAsia"/>
                <w:color w:val="auto"/>
                <w:sz w:val="24"/>
                <w:lang w:val="en-US" w:eastAsia="zh-CN"/>
              </w:rPr>
              <w:t>m</w:t>
            </w:r>
            <w:r>
              <w:rPr>
                <w:rFonts w:hint="eastAsia"/>
                <w:color w:val="auto"/>
                <w:sz w:val="24"/>
                <w:vertAlign w:val="superscript"/>
                <w:lang w:val="en-US" w:eastAsia="zh-CN"/>
              </w:rPr>
              <w:t>3</w:t>
            </w:r>
            <w:r>
              <w:rPr>
                <w:rFonts w:hint="eastAsia"/>
                <w:color w:val="auto"/>
                <w:sz w:val="24"/>
                <w:lang w:eastAsia="zh-CN"/>
              </w:rPr>
              <w:t>的循环水池，循环水池内放置水压测试实验机，水压测试用水循环使用不外排，定期补充新鲜水。定期补充因工件带走及蒸发损耗的新鲜水量按照循环水池储存量（储存量为水池容积的</w:t>
            </w:r>
            <w:r>
              <w:rPr>
                <w:rFonts w:hint="eastAsia"/>
                <w:color w:val="auto"/>
                <w:sz w:val="24"/>
                <w:lang w:val="en-US" w:eastAsia="zh-CN"/>
              </w:rPr>
              <w:t>80%</w:t>
            </w:r>
            <w:r>
              <w:rPr>
                <w:rFonts w:hint="eastAsia"/>
                <w:color w:val="auto"/>
                <w:sz w:val="24"/>
                <w:lang w:eastAsia="zh-CN"/>
              </w:rPr>
              <w:t>）的</w:t>
            </w:r>
            <w:r>
              <w:rPr>
                <w:rFonts w:hint="eastAsia"/>
                <w:color w:val="auto"/>
                <w:sz w:val="24"/>
                <w:lang w:val="en-US" w:eastAsia="zh-CN"/>
              </w:rPr>
              <w:t>50%计，则定期补充新鲜水量为1.2</w:t>
            </w:r>
            <w:r>
              <w:rPr>
                <w:rFonts w:hint="eastAsia"/>
                <w:color w:val="auto"/>
                <w:sz w:val="24"/>
                <w:lang w:eastAsia="zh-CN"/>
              </w:rPr>
              <w:t>m</w:t>
            </w:r>
            <w:r>
              <w:rPr>
                <w:rFonts w:hint="eastAsia"/>
                <w:color w:val="auto"/>
                <w:sz w:val="24"/>
                <w:vertAlign w:val="superscript"/>
                <w:lang w:eastAsia="zh-CN"/>
              </w:rPr>
              <w:t>3</w:t>
            </w:r>
            <w:r>
              <w:rPr>
                <w:rFonts w:hint="eastAsia"/>
                <w:color w:val="auto"/>
                <w:sz w:val="24"/>
                <w:lang w:eastAsia="zh-CN"/>
              </w:rPr>
              <w:t>/d（360m</w:t>
            </w:r>
            <w:r>
              <w:rPr>
                <w:rFonts w:hint="eastAsia"/>
                <w:color w:val="auto"/>
                <w:sz w:val="24"/>
                <w:vertAlign w:val="superscript"/>
                <w:lang w:eastAsia="zh-CN"/>
              </w:rPr>
              <w:t>3</w:t>
            </w:r>
            <w:r>
              <w:rPr>
                <w:rFonts w:hint="eastAsia"/>
                <w:color w:val="auto"/>
                <w:sz w:val="24"/>
                <w:lang w:eastAsia="zh-CN"/>
              </w:rPr>
              <w:t>/a）。</w:t>
            </w:r>
          </w:p>
          <w:p w14:paraId="36685706">
            <w:pPr>
              <w:numPr>
                <w:ilvl w:val="0"/>
                <w:numId w:val="2"/>
              </w:numPr>
              <w:adjustRightInd w:val="0"/>
              <w:snapToGrid/>
              <w:spacing w:line="360" w:lineRule="auto"/>
              <w:ind w:firstLine="480" w:firstLineChars="200"/>
              <w:rPr>
                <w:rFonts w:hint="eastAsia"/>
                <w:color w:val="auto"/>
                <w:sz w:val="24"/>
                <w:lang w:eastAsia="zh-CN"/>
              </w:rPr>
            </w:pPr>
            <w:r>
              <w:rPr>
                <w:rFonts w:hint="eastAsia"/>
                <w:color w:val="auto"/>
                <w:sz w:val="24"/>
                <w:lang w:eastAsia="zh-CN"/>
              </w:rPr>
              <w:t>水冷定形用水</w:t>
            </w:r>
          </w:p>
          <w:p w14:paraId="06B9E1CB">
            <w:pPr>
              <w:adjustRightInd w:val="0"/>
              <w:snapToGrid/>
              <w:spacing w:line="360" w:lineRule="auto"/>
              <w:ind w:firstLine="480" w:firstLineChars="200"/>
              <w:rPr>
                <w:rFonts w:hint="eastAsia"/>
                <w:color w:val="auto"/>
                <w:sz w:val="24"/>
                <w:lang w:eastAsia="zh-CN"/>
              </w:rPr>
            </w:pPr>
            <w:r>
              <w:rPr>
                <w:rFonts w:hint="eastAsia" w:cs="Times New Roman"/>
                <w:color w:val="auto"/>
                <w:sz w:val="24"/>
                <w:szCs w:val="24"/>
                <w:highlight w:val="none"/>
                <w:lang w:eastAsia="zh-CN"/>
              </w:rPr>
              <w:t>喷塑、胶带、</w:t>
            </w:r>
            <w:r>
              <w:rPr>
                <w:rFonts w:hint="eastAsia" w:cs="Times New Roman"/>
                <w:color w:val="auto"/>
                <w:sz w:val="24"/>
                <w:szCs w:val="24"/>
                <w:highlight w:val="none"/>
                <w:lang w:val="en-US" w:eastAsia="zh-CN"/>
              </w:rPr>
              <w:t>PE带缠绕工序后钢管要进行水冷以降低其温度，钢管进入水冷却转动线部分，在水冷处前后两端的上部设有喷水管，喷水管的水对钢管进行直接接触，冷却循环水均匀喷洒在涂覆管表面是图层逐渐冷却变硬、本项目水冷定形设置1个20</w:t>
            </w:r>
            <w:r>
              <w:rPr>
                <w:rFonts w:hint="eastAsia"/>
                <w:color w:val="auto"/>
                <w:sz w:val="24"/>
                <w:lang w:val="en-US" w:eastAsia="zh-CN"/>
              </w:rPr>
              <w:t>m</w:t>
            </w:r>
            <w:r>
              <w:rPr>
                <w:rFonts w:hint="eastAsia"/>
                <w:color w:val="auto"/>
                <w:sz w:val="24"/>
                <w:vertAlign w:val="superscript"/>
                <w:lang w:val="en-US" w:eastAsia="zh-CN"/>
              </w:rPr>
              <w:t>3</w:t>
            </w:r>
            <w:r>
              <w:rPr>
                <w:rFonts w:hint="eastAsia"/>
                <w:color w:val="auto"/>
                <w:sz w:val="24"/>
                <w:lang w:eastAsia="zh-CN"/>
              </w:rPr>
              <w:t>的循环水池，水冷定形用水循环使用不外排，定期补充新鲜水，定期补充因工件带走及蒸发损耗的新鲜水量按照循环水池储存量（储存量为水池容积的80%）的10%计，则定期补充新鲜水量为1.6m</w:t>
            </w:r>
            <w:r>
              <w:rPr>
                <w:rFonts w:hint="eastAsia"/>
                <w:color w:val="auto"/>
                <w:sz w:val="24"/>
                <w:vertAlign w:val="superscript"/>
                <w:lang w:eastAsia="zh-CN"/>
              </w:rPr>
              <w:t>3</w:t>
            </w:r>
            <w:r>
              <w:rPr>
                <w:rFonts w:hint="eastAsia"/>
                <w:color w:val="auto"/>
                <w:sz w:val="24"/>
                <w:lang w:eastAsia="zh-CN"/>
              </w:rPr>
              <w:t>/d（480m</w:t>
            </w:r>
            <w:r>
              <w:rPr>
                <w:rFonts w:hint="eastAsia"/>
                <w:color w:val="auto"/>
                <w:sz w:val="24"/>
                <w:vertAlign w:val="superscript"/>
                <w:lang w:eastAsia="zh-CN"/>
              </w:rPr>
              <w:t>3</w:t>
            </w:r>
            <w:r>
              <w:rPr>
                <w:rFonts w:hint="eastAsia"/>
                <w:color w:val="auto"/>
                <w:sz w:val="24"/>
                <w:lang w:eastAsia="zh-CN"/>
              </w:rPr>
              <w:t>/a）</w:t>
            </w:r>
          </w:p>
          <w:p w14:paraId="60E2A980">
            <w:pPr>
              <w:numPr>
                <w:ilvl w:val="0"/>
                <w:numId w:val="2"/>
              </w:numPr>
              <w:adjustRightInd w:val="0"/>
              <w:snapToGrid/>
              <w:spacing w:line="360" w:lineRule="auto"/>
              <w:ind w:left="0" w:leftChars="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生活用水</w:t>
            </w:r>
          </w:p>
          <w:p w14:paraId="14CE4F55">
            <w:pPr>
              <w:numPr>
                <w:ilvl w:val="0"/>
                <w:numId w:val="0"/>
              </w:numPr>
              <w:adjustRightInd w:val="0"/>
              <w:snapToGrid/>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本项目劳动定员102人，均不在厂区内</w:t>
            </w:r>
            <w:r>
              <w:rPr>
                <w:rFonts w:hint="eastAsia" w:cs="Times New Roman"/>
                <w:color w:val="auto"/>
                <w:sz w:val="24"/>
                <w:szCs w:val="24"/>
                <w:highlight w:val="none"/>
                <w:lang w:eastAsia="zh-CN"/>
              </w:rPr>
              <w:t>食</w:t>
            </w:r>
            <w:r>
              <w:rPr>
                <w:rFonts w:hint="default" w:ascii="Times New Roman" w:hAnsi="Times New Roman" w:eastAsia="宋体" w:cs="Times New Roman"/>
                <w:color w:val="auto"/>
                <w:sz w:val="24"/>
                <w:szCs w:val="24"/>
                <w:highlight w:val="none"/>
              </w:rPr>
              <w:t>宿，参考《江西省生活用水定额》</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DB36/T419-2017</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，员工生活用水量以人均100L/d计，则项目生活用水量为10.2</w:t>
            </w:r>
            <w:r>
              <w:rPr>
                <w:rFonts w:hint="eastAsia"/>
                <w:color w:val="auto"/>
                <w:sz w:val="24"/>
                <w:lang w:eastAsia="zh-CN"/>
              </w:rPr>
              <w:t>m</w:t>
            </w:r>
            <w:r>
              <w:rPr>
                <w:rFonts w:hint="eastAsia"/>
                <w:color w:val="auto"/>
                <w:sz w:val="24"/>
                <w:vertAlign w:val="superscript"/>
                <w:lang w:eastAsia="zh-CN"/>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3060</w:t>
            </w:r>
            <w:r>
              <w:rPr>
                <w:rFonts w:hint="eastAsia"/>
                <w:color w:val="auto"/>
                <w:sz w:val="24"/>
                <w:lang w:eastAsia="zh-CN"/>
              </w:rPr>
              <w:t>m</w:t>
            </w:r>
            <w:r>
              <w:rPr>
                <w:rFonts w:hint="eastAsia"/>
                <w:color w:val="auto"/>
                <w:sz w:val="24"/>
                <w:vertAlign w:val="superscript"/>
                <w:lang w:eastAsia="zh-CN"/>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，污水排放系数为0.8，排水量为8.16</w:t>
            </w:r>
            <w:r>
              <w:rPr>
                <w:rFonts w:hint="eastAsia"/>
                <w:color w:val="auto"/>
                <w:sz w:val="24"/>
                <w:lang w:eastAsia="zh-CN"/>
              </w:rPr>
              <w:t>m</w:t>
            </w:r>
            <w:r>
              <w:rPr>
                <w:rFonts w:hint="eastAsia"/>
                <w:color w:val="auto"/>
                <w:sz w:val="24"/>
                <w:vertAlign w:val="superscript"/>
                <w:lang w:eastAsia="zh-CN"/>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2448</w:t>
            </w:r>
            <w:r>
              <w:rPr>
                <w:rFonts w:hint="eastAsia"/>
                <w:color w:val="auto"/>
                <w:sz w:val="24"/>
                <w:lang w:eastAsia="zh-CN"/>
              </w:rPr>
              <w:t>m</w:t>
            </w:r>
            <w:r>
              <w:rPr>
                <w:rFonts w:hint="eastAsia"/>
                <w:color w:val="auto"/>
                <w:sz w:val="24"/>
                <w:vertAlign w:val="superscript"/>
                <w:lang w:eastAsia="zh-CN"/>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5AFADED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排水：厂区排水采用雨水、污水分设排水管网的分流制排水系统。雨水经排入雨水管网</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水压测试用水、水冷定形用水循环使用不外排</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生活污水经化粪池处理后通过园区污水管网入武阳创业园污水处理厂深度处理，武阳创业园污水处理厂处理达标后尾水排入清丰山溪</w:t>
            </w:r>
            <w:r>
              <w:rPr>
                <w:rFonts w:hint="eastAsia" w:cs="Times New Roman"/>
                <w:color w:val="auto"/>
                <w:sz w:val="24"/>
                <w:szCs w:val="24"/>
                <w:highlight w:val="none"/>
                <w:lang w:eastAsia="zh-CN"/>
              </w:rPr>
              <w:t>。</w:t>
            </w:r>
          </w:p>
          <w:p w14:paraId="17A69C97">
            <w:pPr>
              <w:pStyle w:val="33"/>
              <w:keepNext w:val="0"/>
              <w:keepLines w:val="0"/>
              <w:pageBreakBefore w:val="0"/>
              <w:tabs>
                <w:tab w:val="left" w:pos="420"/>
                <w:tab w:val="left" w:pos="870"/>
                <w:tab w:val="left" w:pos="3150"/>
              </w:tabs>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综上，本项目新鲜水总用水量为3900m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/a，生活污水产生量为2448m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/a。</w:t>
            </w:r>
          </w:p>
          <w:p w14:paraId="0EB13C50">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表2-6</w:t>
            </w:r>
            <w:r>
              <w:rPr>
                <w:rFonts w:hint="eastAsia" w:ascii="Times New Roman" w:cs="Times New Roman"/>
                <w:b/>
                <w:bCs/>
                <w:color w:val="auto"/>
                <w:kern w:val="2"/>
                <w:sz w:val="24"/>
                <w:szCs w:val="24"/>
                <w:highlight w:val="none"/>
                <w:lang w:val="en-US" w:eastAsia="zh-CN" w:bidi="ar-SA"/>
              </w:rPr>
              <w:t xml:space="preserve"> </w:t>
            </w:r>
            <w:r>
              <w:rPr>
                <w:rFonts w:hint="default" w:ascii="Times New Roman" w:hAnsi="Times New Roman" w:eastAsia="宋体" w:cs="Times New Roman"/>
                <w:b/>
                <w:bCs/>
                <w:color w:val="auto"/>
                <w:kern w:val="2"/>
                <w:sz w:val="24"/>
                <w:szCs w:val="24"/>
                <w:highlight w:val="none"/>
                <w:lang w:val="en-US" w:eastAsia="zh-CN" w:bidi="ar-SA"/>
              </w:rPr>
              <w:t>全厂水平衡一览表（m</w:t>
            </w:r>
            <w:r>
              <w:rPr>
                <w:rFonts w:hint="default" w:ascii="Times New Roman" w:hAnsi="Times New Roman" w:eastAsia="宋体" w:cs="Times New Roman"/>
                <w:b/>
                <w:bCs/>
                <w:color w:val="auto"/>
                <w:kern w:val="2"/>
                <w:sz w:val="24"/>
                <w:szCs w:val="24"/>
                <w:highlight w:val="none"/>
                <w:vertAlign w:val="superscript"/>
                <w:lang w:val="en-US" w:eastAsia="zh-CN" w:bidi="ar-SA"/>
              </w:rPr>
              <w:t>3</w:t>
            </w:r>
            <w:r>
              <w:rPr>
                <w:rFonts w:hint="default" w:ascii="Times New Roman" w:hAnsi="Times New Roman" w:eastAsia="宋体" w:cs="Times New Roman"/>
                <w:b/>
                <w:bCs/>
                <w:color w:val="auto"/>
                <w:kern w:val="2"/>
                <w:sz w:val="24"/>
                <w:szCs w:val="24"/>
                <w:highlight w:val="none"/>
                <w:lang w:val="en-US" w:eastAsia="zh-CN" w:bidi="ar-SA"/>
              </w:rPr>
              <w:t>/d）</w:t>
            </w:r>
          </w:p>
          <w:tbl>
            <w:tblPr>
              <w:tblStyle w:val="34"/>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1178"/>
              <w:gridCol w:w="1014"/>
              <w:gridCol w:w="1168"/>
              <w:gridCol w:w="1087"/>
              <w:gridCol w:w="847"/>
              <w:gridCol w:w="968"/>
              <w:gridCol w:w="989"/>
            </w:tblGrid>
            <w:tr w14:paraId="482C02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1146" w:type="pct"/>
                  <w:vMerge w:val="restart"/>
                  <w:tcBorders>
                    <w:tl2br w:val="nil"/>
                    <w:tr2bl w:val="nil"/>
                  </w:tcBorders>
                  <w:noWrap w:val="0"/>
                  <w:vAlign w:val="center"/>
                </w:tcPr>
                <w:p w14:paraId="22AC6D0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w:t>
                  </w:r>
                </w:p>
              </w:tc>
              <w:tc>
                <w:tcPr>
                  <w:tcW w:w="1789" w:type="pct"/>
                  <w:gridSpan w:val="3"/>
                  <w:tcBorders>
                    <w:tl2br w:val="nil"/>
                    <w:tr2bl w:val="nil"/>
                  </w:tcBorders>
                  <w:noWrap w:val="0"/>
                  <w:vAlign w:val="center"/>
                </w:tcPr>
                <w:p w14:paraId="6AB68AB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投入</w:t>
                  </w:r>
                </w:p>
              </w:tc>
              <w:tc>
                <w:tcPr>
                  <w:tcW w:w="2064" w:type="pct"/>
                  <w:gridSpan w:val="4"/>
                  <w:tcBorders>
                    <w:tl2br w:val="nil"/>
                    <w:tr2bl w:val="nil"/>
                  </w:tcBorders>
                  <w:noWrap w:val="0"/>
                  <w:vAlign w:val="center"/>
                </w:tcPr>
                <w:p w14:paraId="723E136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产出</w:t>
                  </w:r>
                </w:p>
              </w:tc>
            </w:tr>
            <w:tr w14:paraId="45AD6A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46" w:type="pct"/>
                  <w:vMerge w:val="continue"/>
                  <w:tcBorders>
                    <w:tl2br w:val="nil"/>
                    <w:tr2bl w:val="nil"/>
                  </w:tcBorders>
                  <w:noWrap w:val="0"/>
                  <w:vAlign w:val="center"/>
                </w:tcPr>
                <w:p w14:paraId="146FE8D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rPr>
                  </w:pPr>
                </w:p>
              </w:tc>
              <w:tc>
                <w:tcPr>
                  <w:tcW w:w="627" w:type="pct"/>
                  <w:tcBorders>
                    <w:tl2br w:val="nil"/>
                    <w:tr2bl w:val="nil"/>
                  </w:tcBorders>
                  <w:noWrap w:val="0"/>
                  <w:vAlign w:val="center"/>
                </w:tcPr>
                <w:p w14:paraId="322FA06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总计</w:t>
                  </w:r>
                </w:p>
              </w:tc>
              <w:tc>
                <w:tcPr>
                  <w:tcW w:w="540" w:type="pct"/>
                  <w:tcBorders>
                    <w:tl2br w:val="nil"/>
                    <w:tr2bl w:val="nil"/>
                  </w:tcBorders>
                  <w:noWrap w:val="0"/>
                  <w:vAlign w:val="center"/>
                </w:tcPr>
                <w:p w14:paraId="28A6E94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新鲜水</w:t>
                  </w:r>
                </w:p>
              </w:tc>
              <w:tc>
                <w:tcPr>
                  <w:tcW w:w="621" w:type="pct"/>
                  <w:tcBorders>
                    <w:tl2br w:val="nil"/>
                    <w:tr2bl w:val="nil"/>
                  </w:tcBorders>
                  <w:noWrap w:val="0"/>
                  <w:vAlign w:val="center"/>
                </w:tcPr>
                <w:p w14:paraId="15F3199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eastAsia="zh-CN"/>
                    </w:rPr>
                    <w:t>回用</w:t>
                  </w:r>
                </w:p>
              </w:tc>
              <w:tc>
                <w:tcPr>
                  <w:tcW w:w="579" w:type="pct"/>
                  <w:tcBorders>
                    <w:tl2br w:val="nil"/>
                    <w:tr2bl w:val="nil"/>
                  </w:tcBorders>
                  <w:noWrap w:val="0"/>
                  <w:vAlign w:val="center"/>
                </w:tcPr>
                <w:p w14:paraId="2CDD624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损耗量</w:t>
                  </w:r>
                </w:p>
              </w:tc>
              <w:tc>
                <w:tcPr>
                  <w:tcW w:w="444" w:type="pct"/>
                  <w:tcBorders>
                    <w:tl2br w:val="nil"/>
                    <w:tr2bl w:val="nil"/>
                  </w:tcBorders>
                  <w:noWrap w:val="0"/>
                  <w:vAlign w:val="center"/>
                </w:tcPr>
                <w:p w14:paraId="5885B3E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回用</w:t>
                  </w:r>
                </w:p>
              </w:tc>
              <w:tc>
                <w:tcPr>
                  <w:tcW w:w="515" w:type="pct"/>
                  <w:tcBorders>
                    <w:tl2br w:val="nil"/>
                    <w:tr2bl w:val="nil"/>
                  </w:tcBorders>
                  <w:noWrap w:val="0"/>
                  <w:vAlign w:val="center"/>
                </w:tcPr>
                <w:p w14:paraId="4D2CC87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eastAsia="zh-CN"/>
                    </w:rPr>
                    <w:t>废水</w:t>
                  </w:r>
                </w:p>
              </w:tc>
              <w:tc>
                <w:tcPr>
                  <w:tcW w:w="524" w:type="pct"/>
                  <w:tcBorders>
                    <w:tl2br w:val="nil"/>
                    <w:tr2bl w:val="nil"/>
                  </w:tcBorders>
                  <w:noWrap w:val="0"/>
                  <w:vAlign w:val="center"/>
                </w:tcPr>
                <w:p w14:paraId="0628D64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总计</w:t>
                  </w:r>
                </w:p>
              </w:tc>
            </w:tr>
            <w:tr w14:paraId="73F1D2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146" w:type="pct"/>
                  <w:tcBorders>
                    <w:tl2br w:val="nil"/>
                    <w:tr2bl w:val="nil"/>
                  </w:tcBorders>
                  <w:noWrap w:val="0"/>
                  <w:vAlign w:val="center"/>
                </w:tcPr>
                <w:p w14:paraId="5862F1E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生活用水</w:t>
                  </w:r>
                </w:p>
              </w:tc>
              <w:tc>
                <w:tcPr>
                  <w:tcW w:w="627" w:type="pct"/>
                  <w:tcBorders>
                    <w:tl2br w:val="nil"/>
                    <w:tr2bl w:val="nil"/>
                  </w:tcBorders>
                  <w:noWrap w:val="0"/>
                  <w:vAlign w:val="center"/>
                </w:tcPr>
                <w:p w14:paraId="2AFE384F">
                  <w:pPr>
                    <w:widowControl/>
                    <w:adjustRightInd w:val="0"/>
                    <w:snapToGrid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lang w:val="en-US" w:eastAsia="zh-CN"/>
                    </w:rPr>
                    <w:t>3060</w:t>
                  </w:r>
                </w:p>
              </w:tc>
              <w:tc>
                <w:tcPr>
                  <w:tcW w:w="540" w:type="pct"/>
                  <w:tcBorders>
                    <w:tl2br w:val="nil"/>
                    <w:tr2bl w:val="nil"/>
                  </w:tcBorders>
                  <w:noWrap w:val="0"/>
                  <w:vAlign w:val="center"/>
                </w:tcPr>
                <w:p w14:paraId="2AC86C99">
                  <w:pPr>
                    <w:widowControl/>
                    <w:adjustRightInd w:val="0"/>
                    <w:snapToGrid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lang w:val="en-US" w:eastAsia="zh-CN"/>
                    </w:rPr>
                    <w:t>3060</w:t>
                  </w:r>
                </w:p>
              </w:tc>
              <w:tc>
                <w:tcPr>
                  <w:tcW w:w="621" w:type="pct"/>
                  <w:tcBorders>
                    <w:tl2br w:val="nil"/>
                    <w:tr2bl w:val="nil"/>
                  </w:tcBorders>
                  <w:noWrap w:val="0"/>
                  <w:vAlign w:val="center"/>
                </w:tcPr>
                <w:p w14:paraId="697EBDC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w:t>
                  </w:r>
                </w:p>
              </w:tc>
              <w:tc>
                <w:tcPr>
                  <w:tcW w:w="579" w:type="pct"/>
                  <w:tcBorders>
                    <w:tl2br w:val="nil"/>
                    <w:tr2bl w:val="nil"/>
                  </w:tcBorders>
                  <w:noWrap w:val="0"/>
                  <w:vAlign w:val="center"/>
                </w:tcPr>
                <w:p w14:paraId="21DC0A6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612</w:t>
                  </w:r>
                </w:p>
              </w:tc>
              <w:tc>
                <w:tcPr>
                  <w:tcW w:w="444" w:type="pct"/>
                  <w:tcBorders>
                    <w:tl2br w:val="nil"/>
                    <w:tr2bl w:val="nil"/>
                  </w:tcBorders>
                  <w:noWrap w:val="0"/>
                  <w:vAlign w:val="center"/>
                </w:tcPr>
                <w:p w14:paraId="41CEBD0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515" w:type="pct"/>
                  <w:tcBorders>
                    <w:tl2br w:val="nil"/>
                    <w:tr2bl w:val="nil"/>
                  </w:tcBorders>
                  <w:noWrap w:val="0"/>
                  <w:vAlign w:val="center"/>
                </w:tcPr>
                <w:p w14:paraId="3620AAA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2448</w:t>
                  </w:r>
                </w:p>
              </w:tc>
              <w:tc>
                <w:tcPr>
                  <w:tcW w:w="524" w:type="pct"/>
                  <w:tcBorders>
                    <w:tl2br w:val="nil"/>
                    <w:tr2bl w:val="nil"/>
                  </w:tcBorders>
                  <w:noWrap w:val="0"/>
                  <w:vAlign w:val="center"/>
                </w:tcPr>
                <w:p w14:paraId="744D666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3060</w:t>
                  </w:r>
                </w:p>
              </w:tc>
            </w:tr>
            <w:tr w14:paraId="763444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46" w:type="pct"/>
                  <w:tcBorders>
                    <w:tl2br w:val="nil"/>
                    <w:tr2bl w:val="nil"/>
                  </w:tcBorders>
                  <w:noWrap w:val="0"/>
                  <w:vAlign w:val="center"/>
                </w:tcPr>
                <w:p w14:paraId="27059FA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水压测试用水</w:t>
                  </w:r>
                </w:p>
              </w:tc>
              <w:tc>
                <w:tcPr>
                  <w:tcW w:w="627" w:type="pct"/>
                  <w:tcBorders>
                    <w:tl2br w:val="nil"/>
                    <w:tr2bl w:val="nil"/>
                  </w:tcBorders>
                  <w:noWrap w:val="0"/>
                  <w:vAlign w:val="center"/>
                </w:tcPr>
                <w:p w14:paraId="2753105F">
                  <w:pPr>
                    <w:widowControl/>
                    <w:adjustRightInd w:val="0"/>
                    <w:snapToGrid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lang w:val="en-US" w:eastAsia="zh-CN"/>
                    </w:rPr>
                    <w:t>72360</w:t>
                  </w:r>
                </w:p>
              </w:tc>
              <w:tc>
                <w:tcPr>
                  <w:tcW w:w="540" w:type="pct"/>
                  <w:tcBorders>
                    <w:tl2br w:val="nil"/>
                    <w:tr2bl w:val="nil"/>
                  </w:tcBorders>
                  <w:noWrap w:val="0"/>
                  <w:vAlign w:val="center"/>
                </w:tcPr>
                <w:p w14:paraId="620C41D2">
                  <w:pPr>
                    <w:widowControl/>
                    <w:adjustRightInd w:val="0"/>
                    <w:snapToGrid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lang w:val="en-US" w:eastAsia="zh-CN"/>
                    </w:rPr>
                    <w:t>360</w:t>
                  </w:r>
                </w:p>
              </w:tc>
              <w:tc>
                <w:tcPr>
                  <w:tcW w:w="621" w:type="pct"/>
                  <w:tcBorders>
                    <w:tl2br w:val="nil"/>
                    <w:tr2bl w:val="nil"/>
                  </w:tcBorders>
                  <w:noWrap w:val="0"/>
                  <w:vAlign w:val="center"/>
                </w:tcPr>
                <w:p w14:paraId="327518F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72000</w:t>
                  </w:r>
                </w:p>
              </w:tc>
              <w:tc>
                <w:tcPr>
                  <w:tcW w:w="579" w:type="pct"/>
                  <w:tcBorders>
                    <w:tl2br w:val="nil"/>
                    <w:tr2bl w:val="nil"/>
                  </w:tcBorders>
                  <w:noWrap w:val="0"/>
                  <w:vAlign w:val="center"/>
                </w:tcPr>
                <w:p w14:paraId="16E7E0F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360</w:t>
                  </w:r>
                </w:p>
              </w:tc>
              <w:tc>
                <w:tcPr>
                  <w:tcW w:w="444" w:type="pct"/>
                  <w:tcBorders>
                    <w:tl2br w:val="nil"/>
                    <w:tr2bl w:val="nil"/>
                  </w:tcBorders>
                  <w:noWrap w:val="0"/>
                  <w:vAlign w:val="center"/>
                </w:tcPr>
                <w:p w14:paraId="61F0EDE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72000</w:t>
                  </w:r>
                </w:p>
              </w:tc>
              <w:tc>
                <w:tcPr>
                  <w:tcW w:w="515" w:type="pct"/>
                  <w:tcBorders>
                    <w:tl2br w:val="nil"/>
                    <w:tr2bl w:val="nil"/>
                  </w:tcBorders>
                  <w:noWrap w:val="0"/>
                  <w:vAlign w:val="center"/>
                </w:tcPr>
                <w:p w14:paraId="660C805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w:t>
                  </w:r>
                </w:p>
              </w:tc>
              <w:tc>
                <w:tcPr>
                  <w:tcW w:w="524" w:type="pct"/>
                  <w:tcBorders>
                    <w:tl2br w:val="nil"/>
                    <w:tr2bl w:val="nil"/>
                  </w:tcBorders>
                  <w:noWrap w:val="0"/>
                  <w:vAlign w:val="center"/>
                </w:tcPr>
                <w:p w14:paraId="5D27659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72360</w:t>
                  </w:r>
                </w:p>
              </w:tc>
            </w:tr>
            <w:tr w14:paraId="3309C5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146" w:type="pct"/>
                  <w:tcBorders>
                    <w:tl2br w:val="nil"/>
                    <w:tr2bl w:val="nil"/>
                  </w:tcBorders>
                  <w:noWrap w:val="0"/>
                  <w:vAlign w:val="center"/>
                </w:tcPr>
                <w:p w14:paraId="77CAB10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水冷定形用水</w:t>
                  </w:r>
                </w:p>
              </w:tc>
              <w:tc>
                <w:tcPr>
                  <w:tcW w:w="627" w:type="pct"/>
                  <w:tcBorders>
                    <w:tl2br w:val="nil"/>
                    <w:tr2bl w:val="nil"/>
                  </w:tcBorders>
                  <w:noWrap w:val="0"/>
                  <w:vAlign w:val="center"/>
                </w:tcPr>
                <w:p w14:paraId="3F97B757">
                  <w:pPr>
                    <w:widowControl/>
                    <w:adjustRightInd w:val="0"/>
                    <w:snapToGrid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48480</w:t>
                  </w:r>
                </w:p>
              </w:tc>
              <w:tc>
                <w:tcPr>
                  <w:tcW w:w="540" w:type="pct"/>
                  <w:tcBorders>
                    <w:tl2br w:val="nil"/>
                    <w:tr2bl w:val="nil"/>
                  </w:tcBorders>
                  <w:noWrap w:val="0"/>
                  <w:vAlign w:val="center"/>
                </w:tcPr>
                <w:p w14:paraId="6027C061">
                  <w:pPr>
                    <w:widowControl/>
                    <w:adjustRightInd w:val="0"/>
                    <w:snapToGrid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480</w:t>
                  </w:r>
                </w:p>
              </w:tc>
              <w:tc>
                <w:tcPr>
                  <w:tcW w:w="621" w:type="pct"/>
                  <w:tcBorders>
                    <w:tl2br w:val="nil"/>
                    <w:tr2bl w:val="nil"/>
                  </w:tcBorders>
                  <w:noWrap w:val="0"/>
                  <w:vAlign w:val="center"/>
                </w:tcPr>
                <w:p w14:paraId="07D6C3E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48000</w:t>
                  </w:r>
                </w:p>
              </w:tc>
              <w:tc>
                <w:tcPr>
                  <w:tcW w:w="579" w:type="pct"/>
                  <w:tcBorders>
                    <w:tl2br w:val="nil"/>
                    <w:tr2bl w:val="nil"/>
                  </w:tcBorders>
                  <w:noWrap w:val="0"/>
                  <w:vAlign w:val="center"/>
                </w:tcPr>
                <w:p w14:paraId="2213261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480</w:t>
                  </w:r>
                </w:p>
              </w:tc>
              <w:tc>
                <w:tcPr>
                  <w:tcW w:w="444" w:type="pct"/>
                  <w:tcBorders>
                    <w:tl2br w:val="nil"/>
                    <w:tr2bl w:val="nil"/>
                  </w:tcBorders>
                  <w:noWrap w:val="0"/>
                  <w:vAlign w:val="center"/>
                </w:tcPr>
                <w:p w14:paraId="58937FD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48000</w:t>
                  </w:r>
                </w:p>
              </w:tc>
              <w:tc>
                <w:tcPr>
                  <w:tcW w:w="515" w:type="pct"/>
                  <w:tcBorders>
                    <w:tl2br w:val="nil"/>
                    <w:tr2bl w:val="nil"/>
                  </w:tcBorders>
                  <w:noWrap w:val="0"/>
                  <w:vAlign w:val="center"/>
                </w:tcPr>
                <w:p w14:paraId="74E39CD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524" w:type="pct"/>
                  <w:tcBorders>
                    <w:tl2br w:val="nil"/>
                    <w:tr2bl w:val="nil"/>
                  </w:tcBorders>
                  <w:noWrap w:val="0"/>
                  <w:vAlign w:val="center"/>
                </w:tcPr>
                <w:p w14:paraId="6A3CC5F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48480</w:t>
                  </w:r>
                </w:p>
              </w:tc>
            </w:tr>
            <w:tr w14:paraId="14E1EA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1146" w:type="pct"/>
                  <w:tcBorders>
                    <w:tl2br w:val="nil"/>
                    <w:tr2bl w:val="nil"/>
                  </w:tcBorders>
                  <w:noWrap w:val="0"/>
                  <w:vAlign w:val="center"/>
                </w:tcPr>
                <w:p w14:paraId="423F71D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合计</w:t>
                  </w:r>
                </w:p>
              </w:tc>
              <w:tc>
                <w:tcPr>
                  <w:tcW w:w="627" w:type="pct"/>
                  <w:tcBorders>
                    <w:tl2br w:val="nil"/>
                    <w:tr2bl w:val="nil"/>
                  </w:tcBorders>
                  <w:noWrap w:val="0"/>
                  <w:vAlign w:val="center"/>
                </w:tcPr>
                <w:p w14:paraId="283E6DD5">
                  <w:pPr>
                    <w:widowControl/>
                    <w:adjustRightInd w:val="0"/>
                    <w:snapToGrid w:val="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fldChar w:fldCharType="begin"/>
                  </w:r>
                  <w:r>
                    <w:rPr>
                      <w:rFonts w:hint="default" w:ascii="Times New Roman" w:hAnsi="Times New Roman" w:cs="Times New Roman"/>
                      <w:color w:val="auto"/>
                      <w:sz w:val="21"/>
                      <w:szCs w:val="21"/>
                      <w:highlight w:val="none"/>
                      <w:lang w:val="en-US" w:eastAsia="zh-CN"/>
                    </w:rPr>
                    <w:instrText xml:space="preserve"> = sum(B3:B5) \* MERGEFORMAT </w:instrText>
                  </w:r>
                  <w:r>
                    <w:rPr>
                      <w:rFonts w:hint="default" w:ascii="Times New Roman" w:hAnsi="Times New Roman" w:cs="Times New Roman"/>
                      <w:color w:val="auto"/>
                      <w:sz w:val="21"/>
                      <w:szCs w:val="21"/>
                      <w:highlight w:val="none"/>
                      <w:lang w:val="en-US" w:eastAsia="zh-CN"/>
                    </w:rPr>
                    <w:fldChar w:fldCharType="separate"/>
                  </w:r>
                  <w:r>
                    <w:rPr>
                      <w:rFonts w:hint="default" w:ascii="Times New Roman" w:hAnsi="Times New Roman" w:cs="Times New Roman"/>
                      <w:color w:val="auto"/>
                      <w:sz w:val="21"/>
                      <w:szCs w:val="21"/>
                      <w:highlight w:val="none"/>
                      <w:lang w:val="en-US" w:eastAsia="zh-CN"/>
                    </w:rPr>
                    <w:t>123900</w:t>
                  </w:r>
                  <w:r>
                    <w:rPr>
                      <w:rFonts w:hint="default" w:ascii="Times New Roman" w:hAnsi="Times New Roman" w:cs="Times New Roman"/>
                      <w:color w:val="auto"/>
                      <w:sz w:val="21"/>
                      <w:szCs w:val="21"/>
                      <w:highlight w:val="none"/>
                      <w:lang w:val="en-US" w:eastAsia="zh-CN"/>
                    </w:rPr>
                    <w:fldChar w:fldCharType="end"/>
                  </w:r>
                </w:p>
              </w:tc>
              <w:tc>
                <w:tcPr>
                  <w:tcW w:w="540" w:type="pct"/>
                  <w:tcBorders>
                    <w:tl2br w:val="nil"/>
                    <w:tr2bl w:val="nil"/>
                  </w:tcBorders>
                  <w:noWrap w:val="0"/>
                  <w:vAlign w:val="center"/>
                </w:tcPr>
                <w:p w14:paraId="46E4573B">
                  <w:pPr>
                    <w:widowControl/>
                    <w:adjustRightInd w:val="0"/>
                    <w:snapToGrid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fldChar w:fldCharType="begin"/>
                  </w:r>
                  <w:r>
                    <w:rPr>
                      <w:rFonts w:hint="default" w:ascii="Times New Roman" w:hAnsi="Times New Roman" w:eastAsia="宋体" w:cs="Times New Roman"/>
                      <w:color w:val="auto"/>
                      <w:sz w:val="21"/>
                      <w:szCs w:val="21"/>
                      <w:highlight w:val="none"/>
                      <w:lang w:val="en-US" w:eastAsia="zh-CN"/>
                    </w:rPr>
                    <w:instrText xml:space="preserve"> = sum(C3:C5) \* MERGEFORMAT </w:instrText>
                  </w:r>
                  <w:r>
                    <w:rPr>
                      <w:rFonts w:hint="default" w:ascii="Times New Roman" w:hAnsi="Times New Roman" w:eastAsia="宋体" w:cs="Times New Roman"/>
                      <w:color w:val="auto"/>
                      <w:sz w:val="21"/>
                      <w:szCs w:val="21"/>
                      <w:highlight w:val="none"/>
                      <w:lang w:val="en-US" w:eastAsia="zh-CN"/>
                    </w:rPr>
                    <w:fldChar w:fldCharType="separate"/>
                  </w:r>
                  <w:r>
                    <w:rPr>
                      <w:rFonts w:hint="default" w:ascii="Times New Roman" w:hAnsi="Times New Roman" w:eastAsia="宋体" w:cs="Times New Roman"/>
                      <w:color w:val="auto"/>
                      <w:sz w:val="21"/>
                      <w:szCs w:val="21"/>
                      <w:highlight w:val="none"/>
                      <w:lang w:val="en-US" w:eastAsia="zh-CN"/>
                    </w:rPr>
                    <w:t>3900</w:t>
                  </w:r>
                  <w:r>
                    <w:rPr>
                      <w:rFonts w:hint="default" w:ascii="Times New Roman" w:hAnsi="Times New Roman" w:eastAsia="宋体" w:cs="Times New Roman"/>
                      <w:color w:val="auto"/>
                      <w:sz w:val="21"/>
                      <w:szCs w:val="21"/>
                      <w:highlight w:val="none"/>
                      <w:lang w:val="en-US" w:eastAsia="zh-CN"/>
                    </w:rPr>
                    <w:fldChar w:fldCharType="end"/>
                  </w:r>
                </w:p>
              </w:tc>
              <w:tc>
                <w:tcPr>
                  <w:tcW w:w="621" w:type="pct"/>
                  <w:tcBorders>
                    <w:tl2br w:val="nil"/>
                    <w:tr2bl w:val="nil"/>
                  </w:tcBorders>
                  <w:noWrap w:val="0"/>
                  <w:vAlign w:val="center"/>
                </w:tcPr>
                <w:p w14:paraId="395F5458">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fldChar w:fldCharType="begin"/>
                  </w:r>
                  <w:r>
                    <w:rPr>
                      <w:rFonts w:hint="default" w:ascii="Times New Roman" w:hAnsi="Times New Roman" w:cs="Times New Roman"/>
                      <w:color w:val="auto"/>
                      <w:kern w:val="2"/>
                      <w:sz w:val="21"/>
                      <w:szCs w:val="21"/>
                      <w:highlight w:val="none"/>
                      <w:lang w:val="en-US" w:eastAsia="zh-CN" w:bidi="ar-SA"/>
                    </w:rPr>
                    <w:instrText xml:space="preserve"> = sum(D3:D5) \* MERGEFORMAT </w:instrText>
                  </w:r>
                  <w:r>
                    <w:rPr>
                      <w:rFonts w:hint="default" w:ascii="Times New Roman" w:hAnsi="Times New Roman" w:cs="Times New Roman"/>
                      <w:color w:val="auto"/>
                      <w:kern w:val="2"/>
                      <w:sz w:val="21"/>
                      <w:szCs w:val="21"/>
                      <w:highlight w:val="none"/>
                      <w:lang w:val="en-US" w:eastAsia="zh-CN" w:bidi="ar-SA"/>
                    </w:rPr>
                    <w:fldChar w:fldCharType="separate"/>
                  </w:r>
                  <w:r>
                    <w:rPr>
                      <w:rFonts w:hint="default" w:ascii="Times New Roman" w:hAnsi="Times New Roman" w:cs="Times New Roman"/>
                      <w:color w:val="auto"/>
                      <w:kern w:val="2"/>
                      <w:sz w:val="21"/>
                      <w:szCs w:val="21"/>
                      <w:highlight w:val="none"/>
                      <w:lang w:val="en-US" w:eastAsia="zh-CN" w:bidi="ar-SA"/>
                    </w:rPr>
                    <w:t>120000</w:t>
                  </w:r>
                  <w:r>
                    <w:rPr>
                      <w:rFonts w:hint="default" w:ascii="Times New Roman" w:hAnsi="Times New Roman" w:cs="Times New Roman"/>
                      <w:color w:val="auto"/>
                      <w:kern w:val="2"/>
                      <w:sz w:val="21"/>
                      <w:szCs w:val="21"/>
                      <w:highlight w:val="none"/>
                      <w:lang w:val="en-US" w:eastAsia="zh-CN" w:bidi="ar-SA"/>
                    </w:rPr>
                    <w:fldChar w:fldCharType="end"/>
                  </w:r>
                </w:p>
              </w:tc>
              <w:tc>
                <w:tcPr>
                  <w:tcW w:w="579" w:type="pct"/>
                  <w:tcBorders>
                    <w:tl2br w:val="nil"/>
                    <w:tr2bl w:val="nil"/>
                  </w:tcBorders>
                  <w:noWrap w:val="0"/>
                  <w:vAlign w:val="center"/>
                </w:tcPr>
                <w:p w14:paraId="76828425">
                  <w:pPr>
                    <w:keepNext w:val="0"/>
                    <w:keepLines w:val="0"/>
                    <w:widowControl/>
                    <w:suppressLineNumbers w:val="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fldChar w:fldCharType="begin"/>
                  </w:r>
                  <w:r>
                    <w:rPr>
                      <w:rFonts w:hint="default" w:ascii="Times New Roman" w:hAnsi="Times New Roman" w:cs="Times New Roman"/>
                      <w:color w:val="auto"/>
                      <w:sz w:val="21"/>
                      <w:szCs w:val="21"/>
                      <w:highlight w:val="none"/>
                      <w:lang w:val="en-US" w:eastAsia="zh-CN"/>
                    </w:rPr>
                    <w:instrText xml:space="preserve"> = sum(E3:E5) \* MERGEFORMAT </w:instrText>
                  </w:r>
                  <w:r>
                    <w:rPr>
                      <w:rFonts w:hint="default" w:ascii="Times New Roman" w:hAnsi="Times New Roman" w:cs="Times New Roman"/>
                      <w:color w:val="auto"/>
                      <w:sz w:val="21"/>
                      <w:szCs w:val="21"/>
                      <w:highlight w:val="none"/>
                      <w:lang w:val="en-US" w:eastAsia="zh-CN"/>
                    </w:rPr>
                    <w:fldChar w:fldCharType="separate"/>
                  </w:r>
                  <w:r>
                    <w:rPr>
                      <w:rFonts w:hint="default" w:ascii="Times New Roman" w:hAnsi="Times New Roman" w:cs="Times New Roman"/>
                      <w:color w:val="auto"/>
                      <w:sz w:val="21"/>
                      <w:szCs w:val="21"/>
                      <w:highlight w:val="none"/>
                      <w:lang w:val="en-US" w:eastAsia="zh-CN"/>
                    </w:rPr>
                    <w:t>1452</w:t>
                  </w:r>
                  <w:r>
                    <w:rPr>
                      <w:rFonts w:hint="default" w:ascii="Times New Roman" w:hAnsi="Times New Roman" w:cs="Times New Roman"/>
                      <w:color w:val="auto"/>
                      <w:sz w:val="21"/>
                      <w:szCs w:val="21"/>
                      <w:highlight w:val="none"/>
                      <w:lang w:val="en-US" w:eastAsia="zh-CN"/>
                    </w:rPr>
                    <w:fldChar w:fldCharType="end"/>
                  </w:r>
                </w:p>
              </w:tc>
              <w:tc>
                <w:tcPr>
                  <w:tcW w:w="444" w:type="pct"/>
                  <w:tcBorders>
                    <w:tl2br w:val="nil"/>
                    <w:tr2bl w:val="nil"/>
                  </w:tcBorders>
                  <w:noWrap w:val="0"/>
                  <w:vAlign w:val="center"/>
                </w:tcPr>
                <w:p w14:paraId="1C483470">
                  <w:pPr>
                    <w:keepNext w:val="0"/>
                    <w:keepLines w:val="0"/>
                    <w:widowControl/>
                    <w:suppressLineNumbers w:val="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fldChar w:fldCharType="begin"/>
                  </w:r>
                  <w:r>
                    <w:rPr>
                      <w:rFonts w:hint="default" w:ascii="Times New Roman" w:hAnsi="Times New Roman" w:cs="Times New Roman"/>
                      <w:color w:val="auto"/>
                      <w:sz w:val="21"/>
                      <w:szCs w:val="21"/>
                      <w:highlight w:val="none"/>
                      <w:lang w:val="en-US" w:eastAsia="zh-CN"/>
                    </w:rPr>
                    <w:instrText xml:space="preserve"> = sum(F3:F5) \* MERGEFORMAT </w:instrText>
                  </w:r>
                  <w:r>
                    <w:rPr>
                      <w:rFonts w:hint="default" w:ascii="Times New Roman" w:hAnsi="Times New Roman" w:cs="Times New Roman"/>
                      <w:color w:val="auto"/>
                      <w:sz w:val="21"/>
                      <w:szCs w:val="21"/>
                      <w:highlight w:val="none"/>
                      <w:lang w:val="en-US" w:eastAsia="zh-CN"/>
                    </w:rPr>
                    <w:fldChar w:fldCharType="separate"/>
                  </w:r>
                  <w:r>
                    <w:rPr>
                      <w:rFonts w:hint="default" w:ascii="Times New Roman" w:hAnsi="Times New Roman" w:cs="Times New Roman"/>
                      <w:color w:val="auto"/>
                      <w:sz w:val="21"/>
                      <w:szCs w:val="21"/>
                      <w:highlight w:val="none"/>
                      <w:lang w:val="en-US" w:eastAsia="zh-CN"/>
                    </w:rPr>
                    <w:t>120000</w:t>
                  </w:r>
                  <w:r>
                    <w:rPr>
                      <w:rFonts w:hint="default" w:ascii="Times New Roman" w:hAnsi="Times New Roman" w:cs="Times New Roman"/>
                      <w:color w:val="auto"/>
                      <w:sz w:val="21"/>
                      <w:szCs w:val="21"/>
                      <w:highlight w:val="none"/>
                      <w:lang w:val="en-US" w:eastAsia="zh-CN"/>
                    </w:rPr>
                    <w:fldChar w:fldCharType="end"/>
                  </w:r>
                </w:p>
              </w:tc>
              <w:tc>
                <w:tcPr>
                  <w:tcW w:w="515" w:type="pct"/>
                  <w:tcBorders>
                    <w:tl2br w:val="nil"/>
                    <w:tr2bl w:val="nil"/>
                  </w:tcBorders>
                  <w:noWrap w:val="0"/>
                  <w:vAlign w:val="center"/>
                </w:tcPr>
                <w:p w14:paraId="3043A35B">
                  <w:pPr>
                    <w:keepNext w:val="0"/>
                    <w:keepLines w:val="0"/>
                    <w:widowControl/>
                    <w:suppressLineNumbers w:val="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fldChar w:fldCharType="begin"/>
                  </w:r>
                  <w:r>
                    <w:rPr>
                      <w:rFonts w:hint="default" w:ascii="Times New Roman" w:hAnsi="Times New Roman" w:cs="Times New Roman"/>
                      <w:color w:val="auto"/>
                      <w:kern w:val="2"/>
                      <w:sz w:val="21"/>
                      <w:szCs w:val="21"/>
                      <w:highlight w:val="none"/>
                      <w:lang w:val="en-US" w:eastAsia="zh-CN" w:bidi="ar-SA"/>
                    </w:rPr>
                    <w:instrText xml:space="preserve"> = sum(G3:G5) \* MERGEFORMAT </w:instrText>
                  </w:r>
                  <w:r>
                    <w:rPr>
                      <w:rFonts w:hint="default" w:ascii="Times New Roman" w:hAnsi="Times New Roman" w:cs="Times New Roman"/>
                      <w:color w:val="auto"/>
                      <w:kern w:val="2"/>
                      <w:sz w:val="21"/>
                      <w:szCs w:val="21"/>
                      <w:highlight w:val="none"/>
                      <w:lang w:val="en-US" w:eastAsia="zh-CN" w:bidi="ar-SA"/>
                    </w:rPr>
                    <w:fldChar w:fldCharType="separate"/>
                  </w:r>
                  <w:r>
                    <w:rPr>
                      <w:rFonts w:hint="default" w:ascii="Times New Roman" w:hAnsi="Times New Roman" w:cs="Times New Roman"/>
                      <w:color w:val="auto"/>
                      <w:kern w:val="2"/>
                      <w:sz w:val="21"/>
                      <w:szCs w:val="21"/>
                      <w:highlight w:val="none"/>
                      <w:lang w:val="en-US" w:eastAsia="zh-CN" w:bidi="ar-SA"/>
                    </w:rPr>
                    <w:t>2448</w:t>
                  </w:r>
                  <w:r>
                    <w:rPr>
                      <w:rFonts w:hint="default" w:ascii="Times New Roman" w:hAnsi="Times New Roman" w:cs="Times New Roman"/>
                      <w:color w:val="auto"/>
                      <w:kern w:val="2"/>
                      <w:sz w:val="21"/>
                      <w:szCs w:val="21"/>
                      <w:highlight w:val="none"/>
                      <w:lang w:val="en-US" w:eastAsia="zh-CN" w:bidi="ar-SA"/>
                    </w:rPr>
                    <w:fldChar w:fldCharType="end"/>
                  </w:r>
                </w:p>
              </w:tc>
              <w:tc>
                <w:tcPr>
                  <w:tcW w:w="524" w:type="pct"/>
                  <w:tcBorders>
                    <w:tl2br w:val="nil"/>
                    <w:tr2bl w:val="nil"/>
                  </w:tcBorders>
                  <w:noWrap w:val="0"/>
                  <w:vAlign w:val="center"/>
                </w:tcPr>
                <w:p w14:paraId="3082D3CC">
                  <w:pPr>
                    <w:keepNext w:val="0"/>
                    <w:keepLines w:val="0"/>
                    <w:widowControl/>
                    <w:suppressLineNumbers w:val="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fldChar w:fldCharType="begin"/>
                  </w:r>
                  <w:r>
                    <w:rPr>
                      <w:rFonts w:hint="default" w:ascii="Times New Roman" w:hAnsi="Times New Roman" w:cs="Times New Roman"/>
                      <w:color w:val="auto"/>
                      <w:sz w:val="21"/>
                      <w:szCs w:val="21"/>
                      <w:highlight w:val="none"/>
                      <w:lang w:val="en-US" w:eastAsia="zh-CN"/>
                    </w:rPr>
                    <w:instrText xml:space="preserve"> = sum(H3:H5) \* MERGEFORMAT </w:instrText>
                  </w:r>
                  <w:r>
                    <w:rPr>
                      <w:rFonts w:hint="default" w:ascii="Times New Roman" w:hAnsi="Times New Roman" w:cs="Times New Roman"/>
                      <w:color w:val="auto"/>
                      <w:sz w:val="21"/>
                      <w:szCs w:val="21"/>
                      <w:highlight w:val="none"/>
                      <w:lang w:val="en-US" w:eastAsia="zh-CN"/>
                    </w:rPr>
                    <w:fldChar w:fldCharType="separate"/>
                  </w:r>
                  <w:r>
                    <w:rPr>
                      <w:rFonts w:hint="default" w:ascii="Times New Roman" w:hAnsi="Times New Roman" w:cs="Times New Roman"/>
                      <w:color w:val="auto"/>
                      <w:sz w:val="21"/>
                      <w:szCs w:val="21"/>
                      <w:highlight w:val="none"/>
                      <w:lang w:val="en-US" w:eastAsia="zh-CN"/>
                    </w:rPr>
                    <w:t>123900</w:t>
                  </w:r>
                  <w:r>
                    <w:rPr>
                      <w:rFonts w:hint="default" w:ascii="Times New Roman" w:hAnsi="Times New Roman" w:cs="Times New Roman"/>
                      <w:color w:val="auto"/>
                      <w:sz w:val="21"/>
                      <w:szCs w:val="21"/>
                      <w:highlight w:val="none"/>
                      <w:lang w:val="en-US" w:eastAsia="zh-CN"/>
                    </w:rPr>
                    <w:fldChar w:fldCharType="end"/>
                  </w:r>
                </w:p>
              </w:tc>
            </w:tr>
          </w:tbl>
          <w:p w14:paraId="50FA481E">
            <w:pPr>
              <w:pStyle w:val="98"/>
              <w:ind w:firstLine="0" w:firstLineChars="0"/>
              <w:jc w:val="center"/>
              <w:rPr>
                <w:rFonts w:hint="eastAsia" w:eastAsia="宋体"/>
                <w:color w:val="auto"/>
                <w:lang w:eastAsia="zh-CN"/>
              </w:rPr>
            </w:pPr>
          </w:p>
          <w:p w14:paraId="5CEA13E2">
            <w:pPr>
              <w:pStyle w:val="98"/>
              <w:ind w:firstLine="0" w:firstLineChars="0"/>
              <w:jc w:val="center"/>
              <w:rPr>
                <w:rFonts w:hint="eastAsia" w:eastAsia="宋体"/>
                <w:color w:val="auto"/>
                <w:lang w:eastAsia="zh-CN"/>
              </w:rPr>
            </w:pPr>
            <w:r>
              <w:rPr>
                <w:rFonts w:hint="eastAsia" w:eastAsia="宋体"/>
                <w:color w:val="auto"/>
                <w:lang w:eastAsia="zh-CN"/>
              </w:rPr>
              <w:object>
                <v:shape id="_x0000_i1025" o:spt="75" type="#_x0000_t75" style="height:222.65pt;width:371.2pt;" o:ole="t" filled="f" o:preferrelative="t" stroked="f" coordsize="21600,21600">
                  <v:path/>
                  <v:fill on="f" focussize="0,0"/>
                  <v:stroke on="f"/>
                  <v:imagedata r:id="rId11" o:title=""/>
                  <o:lock v:ext="edit" aspectratio="f"/>
                  <w10:wrap type="none"/>
                  <w10:anchorlock/>
                </v:shape>
                <o:OLEObject Type="Embed" ProgID="Visio.Drawing.11" ShapeID="_x0000_i1025" DrawAspect="Content" ObjectID="_1468075725" r:id="rId10">
                  <o:LockedField>false</o:LockedField>
                </o:OLEObject>
              </w:object>
            </w:r>
          </w:p>
          <w:p w14:paraId="5EAD1D5D">
            <w:pPr>
              <w:pStyle w:val="98"/>
              <w:spacing w:line="240" w:lineRule="auto"/>
              <w:ind w:firstLine="0" w:firstLineChars="0"/>
              <w:jc w:val="center"/>
              <w:rPr>
                <w:b/>
                <w:bCs/>
                <w:color w:val="auto"/>
                <w:sz w:val="24"/>
                <w:szCs w:val="24"/>
              </w:rPr>
            </w:pPr>
            <w:r>
              <w:rPr>
                <w:rFonts w:hint="eastAsia"/>
                <w:b/>
                <w:bCs/>
                <w:color w:val="auto"/>
                <w:sz w:val="24"/>
                <w:szCs w:val="24"/>
              </w:rPr>
              <w:t>图2-1 水平衡图（单位m</w:t>
            </w:r>
            <w:r>
              <w:rPr>
                <w:rFonts w:hint="eastAsia"/>
                <w:b/>
                <w:bCs/>
                <w:color w:val="auto"/>
                <w:sz w:val="24"/>
                <w:szCs w:val="24"/>
                <w:vertAlign w:val="superscript"/>
              </w:rPr>
              <w:t>3</w:t>
            </w:r>
            <w:r>
              <w:rPr>
                <w:rFonts w:hint="eastAsia"/>
                <w:b/>
                <w:bCs/>
                <w:color w:val="auto"/>
                <w:sz w:val="24"/>
                <w:szCs w:val="24"/>
              </w:rPr>
              <w:t>/d）</w:t>
            </w:r>
          </w:p>
          <w:p w14:paraId="56F118C3">
            <w:pPr>
              <w:spacing w:line="360" w:lineRule="auto"/>
              <w:jc w:val="left"/>
              <w:rPr>
                <w:color w:val="auto"/>
                <w:kern w:val="0"/>
                <w:sz w:val="24"/>
                <w:szCs w:val="24"/>
              </w:rPr>
            </w:pPr>
            <w:r>
              <w:rPr>
                <w:rFonts w:hint="eastAsia"/>
                <w:b/>
                <w:color w:val="auto"/>
                <w:kern w:val="0"/>
                <w:sz w:val="24"/>
                <w:szCs w:val="24"/>
              </w:rPr>
              <w:t>2.</w:t>
            </w:r>
            <w:r>
              <w:rPr>
                <w:b/>
                <w:color w:val="auto"/>
                <w:kern w:val="0"/>
                <w:sz w:val="24"/>
                <w:szCs w:val="24"/>
              </w:rPr>
              <w:t>6</w:t>
            </w:r>
            <w:r>
              <w:rPr>
                <w:rFonts w:hint="eastAsia"/>
                <w:b/>
                <w:color w:val="auto"/>
                <w:kern w:val="0"/>
                <w:sz w:val="24"/>
                <w:szCs w:val="24"/>
              </w:rPr>
              <w:t>主要生产工艺及污染物产出环节</w:t>
            </w:r>
          </w:p>
          <w:p w14:paraId="20BA44FE">
            <w:pPr>
              <w:numPr>
                <w:ilvl w:val="0"/>
                <w:numId w:val="4"/>
              </w:numPr>
              <w:ind w:firstLine="480" w:firstLineChars="200"/>
              <w:rPr>
                <w:rFonts w:hint="eastAsia"/>
                <w:color w:val="auto"/>
                <w:sz w:val="24"/>
                <w:szCs w:val="24"/>
                <w:lang w:eastAsia="zh-CN"/>
              </w:rPr>
            </w:pPr>
            <w:r>
              <w:rPr>
                <w:rFonts w:hint="eastAsia"/>
                <w:color w:val="auto"/>
                <w:sz w:val="24"/>
              </w:rPr>
              <w:t>螺旋管</w:t>
            </w:r>
            <w:r>
              <w:rPr>
                <w:rFonts w:hint="eastAsia"/>
                <w:color w:val="auto"/>
                <w:sz w:val="24"/>
                <w:lang w:eastAsia="zh-CN"/>
              </w:rPr>
              <w:t>生产</w:t>
            </w:r>
            <w:r>
              <w:rPr>
                <w:rFonts w:hint="eastAsia"/>
                <w:color w:val="auto"/>
                <w:sz w:val="24"/>
                <w:szCs w:val="24"/>
                <w:lang w:eastAsia="zh-CN"/>
              </w:rPr>
              <w:t>工艺流程图</w:t>
            </w:r>
          </w:p>
          <w:p w14:paraId="5EA371A0">
            <w:pPr>
              <w:spacing w:line="360" w:lineRule="auto"/>
              <w:ind w:firstLine="480" w:firstLineChars="200"/>
              <w:rPr>
                <w:rFonts w:hint="default" w:eastAsia="宋体"/>
                <w:color w:val="auto"/>
                <w:sz w:val="24"/>
                <w:lang w:val="en-US" w:eastAsia="zh-CN"/>
              </w:rPr>
            </w:pPr>
            <w:r>
              <w:rPr>
                <w:rFonts w:hint="eastAsia"/>
                <w:color w:val="auto"/>
                <w:sz w:val="24"/>
              </w:rPr>
              <w:t>工艺流程及产污节点图详见下图</w:t>
            </w:r>
            <w:r>
              <w:rPr>
                <w:rFonts w:hint="eastAsia"/>
                <w:color w:val="auto"/>
                <w:sz w:val="24"/>
                <w:lang w:val="en-US" w:eastAsia="zh-CN"/>
              </w:rPr>
              <w:t>2-2</w:t>
            </w:r>
          </w:p>
          <w:p w14:paraId="03C5E7CB">
            <w:pPr>
              <w:widowControl w:val="0"/>
              <w:numPr>
                <w:ilvl w:val="0"/>
                <w:numId w:val="0"/>
              </w:numPr>
              <w:jc w:val="center"/>
              <w:rPr>
                <w:rFonts w:hint="eastAsia" w:eastAsia="宋体"/>
                <w:color w:val="auto"/>
                <w:lang w:eastAsia="zh-CN"/>
              </w:rPr>
            </w:pPr>
            <w:r>
              <w:rPr>
                <w:rFonts w:hint="eastAsia" w:eastAsia="宋体"/>
                <w:color w:val="auto"/>
                <w:lang w:eastAsia="zh-CN"/>
              </w:rPr>
              <w:object>
                <v:shape id="_x0000_i1026" o:spt="75" type="#_x0000_t75" style="height:724.65pt;width:313.9pt;" o:ole="t" filled="f" o:preferrelative="t" stroked="f" coordsize="21600,21600">
                  <v:path/>
                  <v:fill on="f" focussize="0,0"/>
                  <v:stroke on="f"/>
                  <v:imagedata r:id="rId13" o:title=""/>
                  <o:lock v:ext="edit" aspectratio="f"/>
                  <w10:wrap type="none"/>
                  <w10:anchorlock/>
                </v:shape>
                <o:OLEObject Type="Embed" ProgID="Visio.Drawing.11" ShapeID="_x0000_i1026" DrawAspect="Content" ObjectID="_1468075726" r:id="rId12">
                  <o:LockedField>false</o:LockedField>
                </o:OLEObject>
              </w:object>
            </w:r>
          </w:p>
          <w:p w14:paraId="5AB32462">
            <w:pPr>
              <w:widowControl w:val="0"/>
              <w:numPr>
                <w:ilvl w:val="0"/>
                <w:numId w:val="0"/>
              </w:numPr>
              <w:ind w:firstLine="480" w:firstLineChars="200"/>
              <w:jc w:val="both"/>
              <w:rPr>
                <w:rFonts w:hint="eastAsia" w:eastAsia="宋体"/>
                <w:color w:val="auto"/>
                <w:lang w:val="en-US" w:eastAsia="zh-CN"/>
              </w:rPr>
            </w:pPr>
            <w:r>
              <w:rPr>
                <w:rFonts w:hint="eastAsia"/>
                <w:color w:val="auto"/>
                <w:sz w:val="24"/>
                <w:szCs w:val="24"/>
                <w:lang w:val="en-US" w:eastAsia="zh-CN"/>
              </w:rPr>
              <w:t>2、</w:t>
            </w:r>
            <w:r>
              <w:rPr>
                <w:rFonts w:hint="eastAsia"/>
                <w:color w:val="auto"/>
                <w:sz w:val="24"/>
              </w:rPr>
              <w:t>螺旋管</w:t>
            </w:r>
            <w:r>
              <w:rPr>
                <w:rFonts w:hint="eastAsia"/>
                <w:color w:val="auto"/>
                <w:sz w:val="24"/>
                <w:lang w:eastAsia="zh-CN"/>
              </w:rPr>
              <w:t>生产</w:t>
            </w:r>
            <w:r>
              <w:rPr>
                <w:rFonts w:hint="eastAsia"/>
                <w:color w:val="auto"/>
                <w:sz w:val="24"/>
                <w:szCs w:val="24"/>
                <w:lang w:eastAsia="zh-CN"/>
              </w:rPr>
              <w:t>工艺流程简述：</w:t>
            </w:r>
          </w:p>
          <w:p w14:paraId="66283318">
            <w:pPr>
              <w:spacing w:line="360" w:lineRule="auto"/>
              <w:ind w:firstLine="480" w:firstLineChars="200"/>
              <w:rPr>
                <w:rFonts w:hint="eastAsia" w:eastAsia="宋体"/>
                <w:color w:val="auto"/>
                <w:sz w:val="24"/>
                <w:lang w:eastAsia="zh-CN"/>
              </w:rPr>
            </w:pPr>
            <w:r>
              <w:rPr>
                <w:rFonts w:hint="eastAsia"/>
                <w:color w:val="auto"/>
                <w:sz w:val="24"/>
                <w:lang w:eastAsia="zh-CN"/>
              </w:rPr>
              <w:t>（</w:t>
            </w:r>
            <w:r>
              <w:rPr>
                <w:rFonts w:hint="eastAsia"/>
                <w:color w:val="auto"/>
                <w:sz w:val="24"/>
                <w:lang w:val="en-US" w:eastAsia="zh-CN"/>
              </w:rPr>
              <w:t>1</w:t>
            </w:r>
            <w:r>
              <w:rPr>
                <w:rFonts w:hint="eastAsia"/>
                <w:color w:val="auto"/>
                <w:sz w:val="24"/>
                <w:lang w:eastAsia="zh-CN"/>
              </w:rPr>
              <w:t>）</w:t>
            </w:r>
            <w:r>
              <w:rPr>
                <w:rFonts w:hint="eastAsia"/>
                <w:color w:val="auto"/>
                <w:sz w:val="24"/>
              </w:rPr>
              <w:t>分条</w:t>
            </w:r>
            <w:r>
              <w:rPr>
                <w:rFonts w:hint="eastAsia"/>
                <w:color w:val="auto"/>
                <w:sz w:val="24"/>
                <w:lang w:eastAsia="zh-CN"/>
              </w:rPr>
              <w:t>：</w:t>
            </w:r>
            <w:r>
              <w:rPr>
                <w:rFonts w:hint="eastAsia"/>
                <w:color w:val="auto"/>
                <w:sz w:val="24"/>
              </w:rPr>
              <w:t>外购的钢卷经分条机分成符合后续螺旋管管径要求的带钢，该工序中会产生废边角料及噪声</w:t>
            </w:r>
            <w:r>
              <w:rPr>
                <w:rFonts w:hint="eastAsia"/>
                <w:color w:val="auto"/>
                <w:sz w:val="24"/>
                <w:lang w:eastAsia="zh-CN"/>
              </w:rPr>
              <w:t>。</w:t>
            </w:r>
          </w:p>
          <w:p w14:paraId="07C1D358">
            <w:pPr>
              <w:spacing w:line="360" w:lineRule="auto"/>
              <w:ind w:firstLine="480" w:firstLineChars="200"/>
              <w:rPr>
                <w:rFonts w:hint="eastAsia"/>
                <w:color w:val="auto"/>
                <w:sz w:val="24"/>
              </w:rPr>
            </w:pPr>
            <w:r>
              <w:rPr>
                <w:rFonts w:hint="eastAsia"/>
                <w:color w:val="auto"/>
                <w:sz w:val="24"/>
              </w:rPr>
              <w:t>经分条后的带钢根据管径要求分别进入大、小螺旋管埋弧焊机组进行开卷</w:t>
            </w:r>
            <w:r>
              <w:rPr>
                <w:rFonts w:hint="eastAsia"/>
                <w:color w:val="auto"/>
                <w:sz w:val="24"/>
                <w:lang w:eastAsia="zh-CN"/>
              </w:rPr>
              <w:t>矫</w:t>
            </w:r>
            <w:r>
              <w:rPr>
                <w:rFonts w:hint="eastAsia"/>
                <w:color w:val="auto"/>
                <w:sz w:val="24"/>
              </w:rPr>
              <w:t>平、对头焊接、圆盘剪铣边、成型、内焊、外焊、定尺、飞剪、超声波探伤</w:t>
            </w:r>
            <w:r>
              <w:rPr>
                <w:rFonts w:hint="eastAsia"/>
                <w:color w:val="auto"/>
                <w:sz w:val="24"/>
                <w:lang w:eastAsia="zh-CN"/>
              </w:rPr>
              <w:t>检测</w:t>
            </w:r>
            <w:r>
              <w:rPr>
                <w:rFonts w:hint="eastAsia"/>
                <w:color w:val="auto"/>
                <w:sz w:val="24"/>
              </w:rPr>
              <w:t>等操作。</w:t>
            </w:r>
          </w:p>
          <w:p w14:paraId="5D1985F1">
            <w:pPr>
              <w:spacing w:line="360" w:lineRule="auto"/>
              <w:ind w:firstLine="480" w:firstLineChars="200"/>
              <w:rPr>
                <w:rFonts w:hint="eastAsia" w:eastAsia="宋体"/>
                <w:color w:val="auto"/>
                <w:sz w:val="24"/>
                <w:lang w:eastAsia="zh-CN"/>
              </w:rPr>
            </w:pPr>
            <w:r>
              <w:rPr>
                <w:rFonts w:hint="eastAsia"/>
                <w:color w:val="auto"/>
                <w:sz w:val="24"/>
              </w:rPr>
              <w:t>本项目圆盘剪铣边、飞剪、平头倒棱等机加工过程为千式加工，不涉及乳化液、切削液的使用</w:t>
            </w:r>
            <w:r>
              <w:rPr>
                <w:rFonts w:hint="eastAsia"/>
                <w:color w:val="auto"/>
                <w:sz w:val="24"/>
                <w:lang w:eastAsia="zh-CN"/>
              </w:rPr>
              <w:t>。</w:t>
            </w:r>
          </w:p>
          <w:p w14:paraId="00C96A62">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2</w:t>
            </w:r>
            <w:r>
              <w:rPr>
                <w:rFonts w:hint="eastAsia"/>
                <w:color w:val="auto"/>
                <w:sz w:val="24"/>
                <w:lang w:eastAsia="zh-CN"/>
              </w:rPr>
              <w:t>）</w:t>
            </w:r>
            <w:r>
              <w:rPr>
                <w:rFonts w:hint="eastAsia"/>
                <w:color w:val="auto"/>
                <w:sz w:val="24"/>
              </w:rPr>
              <w:t>开卷娇平</w:t>
            </w:r>
            <w:r>
              <w:rPr>
                <w:rFonts w:hint="eastAsia"/>
                <w:color w:val="auto"/>
                <w:sz w:val="24"/>
                <w:lang w:eastAsia="zh-CN"/>
              </w:rPr>
              <w:t>：</w:t>
            </w:r>
            <w:r>
              <w:rPr>
                <w:rFonts w:hint="eastAsia"/>
                <w:color w:val="auto"/>
                <w:sz w:val="24"/>
              </w:rPr>
              <w:t>带钢进入螺旋管埋弧焊机组开卷矫平处理，使其更加平整，该工序中会产生噪声。</w:t>
            </w:r>
          </w:p>
          <w:p w14:paraId="4DF58975">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3</w:t>
            </w:r>
            <w:r>
              <w:rPr>
                <w:rFonts w:hint="eastAsia"/>
                <w:color w:val="auto"/>
                <w:sz w:val="24"/>
                <w:lang w:eastAsia="zh-CN"/>
              </w:rPr>
              <w:t>）</w:t>
            </w:r>
            <w:r>
              <w:rPr>
                <w:rFonts w:hint="eastAsia"/>
                <w:color w:val="auto"/>
                <w:sz w:val="24"/>
              </w:rPr>
              <w:t>对头焊接</w:t>
            </w:r>
            <w:r>
              <w:rPr>
                <w:rFonts w:hint="eastAsia"/>
                <w:color w:val="auto"/>
                <w:sz w:val="24"/>
                <w:lang w:eastAsia="zh-CN"/>
              </w:rPr>
              <w:t>：</w:t>
            </w:r>
            <w:r>
              <w:rPr>
                <w:rFonts w:hint="eastAsia"/>
                <w:color w:val="auto"/>
                <w:sz w:val="24"/>
              </w:rPr>
              <w:t>后一卷带钢头部后与前一卷带钢尾部相互衔接，通过调整递送辊和侧导向辊使板头、尾对正、焊接，实现无头生产。</w:t>
            </w:r>
          </w:p>
          <w:p w14:paraId="6611A242">
            <w:pPr>
              <w:spacing w:line="360" w:lineRule="auto"/>
              <w:ind w:firstLine="480" w:firstLineChars="200"/>
              <w:rPr>
                <w:rFonts w:hint="eastAsia"/>
                <w:color w:val="auto"/>
                <w:sz w:val="24"/>
              </w:rPr>
            </w:pPr>
            <w:r>
              <w:rPr>
                <w:rFonts w:hint="eastAsia"/>
                <w:color w:val="auto"/>
                <w:sz w:val="24"/>
              </w:rPr>
              <w:t>焊接过程中，在工件被焊处覆盖一层30~50mm厚的颗粒状助焊剂，连续送进的焊丝在助焊剂层下与焊件间产生电弧，电弧的热量使焊丝、工件和助焊剂熔化，形成金属熔池，使它们与空气隔绝，冷却凝固形成焊缝，液态熔渣随后也冷凝形成坚硬的渣壳。</w:t>
            </w:r>
          </w:p>
          <w:p w14:paraId="3F95CCB8">
            <w:pPr>
              <w:spacing w:line="360" w:lineRule="auto"/>
              <w:ind w:firstLine="480" w:firstLineChars="200"/>
              <w:rPr>
                <w:rFonts w:hint="eastAsia"/>
                <w:color w:val="auto"/>
                <w:sz w:val="24"/>
              </w:rPr>
            </w:pPr>
            <w:r>
              <w:rPr>
                <w:rFonts w:hint="eastAsia"/>
                <w:color w:val="auto"/>
                <w:sz w:val="24"/>
              </w:rPr>
              <w:t>该工序产生焊接烟尘、焊渣、噪声。</w:t>
            </w:r>
          </w:p>
          <w:p w14:paraId="5EFBD589">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4</w:t>
            </w:r>
            <w:r>
              <w:rPr>
                <w:rFonts w:hint="eastAsia"/>
                <w:color w:val="auto"/>
                <w:sz w:val="24"/>
                <w:lang w:eastAsia="zh-CN"/>
              </w:rPr>
              <w:t>）</w:t>
            </w:r>
            <w:r>
              <w:rPr>
                <w:rFonts w:hint="eastAsia"/>
                <w:color w:val="auto"/>
                <w:sz w:val="24"/>
              </w:rPr>
              <w:t>圆盘剪铣边</w:t>
            </w:r>
            <w:r>
              <w:rPr>
                <w:rFonts w:hint="eastAsia"/>
                <w:color w:val="auto"/>
                <w:sz w:val="24"/>
                <w:lang w:eastAsia="zh-CN"/>
              </w:rPr>
              <w:t>：</w:t>
            </w:r>
            <w:r>
              <w:rPr>
                <w:rFonts w:hint="eastAsia"/>
                <w:color w:val="auto"/>
                <w:sz w:val="24"/>
              </w:rPr>
              <w:t>带钢递送至圆盘剪进行铣边，两边缘进行双面铣削使之达到焊接要求的板宽、板边平行度和坡口形状，后送入成型工段，该工序中会产生废边角料、金属粉尘及噪声。</w:t>
            </w:r>
          </w:p>
          <w:p w14:paraId="5BA1AF71">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5</w:t>
            </w:r>
            <w:r>
              <w:rPr>
                <w:rFonts w:hint="eastAsia"/>
                <w:color w:val="auto"/>
                <w:sz w:val="24"/>
                <w:lang w:eastAsia="zh-CN"/>
              </w:rPr>
              <w:t>）</w:t>
            </w:r>
            <w:r>
              <w:rPr>
                <w:rFonts w:hint="eastAsia"/>
                <w:color w:val="auto"/>
                <w:sz w:val="24"/>
              </w:rPr>
              <w:t>成型</w:t>
            </w:r>
            <w:r>
              <w:rPr>
                <w:rFonts w:hint="eastAsia"/>
                <w:color w:val="auto"/>
                <w:sz w:val="24"/>
                <w:lang w:eastAsia="zh-CN"/>
              </w:rPr>
              <w:t>：</w:t>
            </w:r>
            <w:r>
              <w:rPr>
                <w:rFonts w:hint="eastAsia"/>
                <w:color w:val="auto"/>
                <w:sz w:val="24"/>
              </w:rPr>
              <w:t>对钢板先进行预弯，使板边具有符合要求的曲率，再对钢板经过多次步进冲压，形成贴合的螺旋状，为焊接做准备，该工序中会产生噪声。</w:t>
            </w:r>
          </w:p>
          <w:p w14:paraId="5A956F08">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6</w:t>
            </w:r>
            <w:r>
              <w:rPr>
                <w:rFonts w:hint="eastAsia"/>
                <w:color w:val="auto"/>
                <w:sz w:val="24"/>
                <w:lang w:eastAsia="zh-CN"/>
              </w:rPr>
              <w:t>）</w:t>
            </w:r>
            <w:r>
              <w:rPr>
                <w:rFonts w:hint="eastAsia"/>
                <w:color w:val="auto"/>
                <w:sz w:val="24"/>
              </w:rPr>
              <w:t>内焊、外焊</w:t>
            </w:r>
            <w:r>
              <w:rPr>
                <w:rFonts w:hint="eastAsia"/>
                <w:color w:val="auto"/>
                <w:sz w:val="24"/>
                <w:lang w:eastAsia="zh-CN"/>
              </w:rPr>
              <w:t>：</w:t>
            </w:r>
            <w:r>
              <w:rPr>
                <w:rFonts w:hint="eastAsia"/>
                <w:color w:val="auto"/>
                <w:sz w:val="24"/>
              </w:rPr>
              <w:t>在成型后接口处进行内焊和外焊，依靠生产机组内外焊装置对钢管进行内外两面同时焊接，焊接均进行埋弧焊接。该工序产生焊接烟尘、焊渣、噪声。</w:t>
            </w:r>
          </w:p>
          <w:p w14:paraId="4D1813F3">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7</w:t>
            </w:r>
            <w:r>
              <w:rPr>
                <w:rFonts w:hint="eastAsia"/>
                <w:color w:val="auto"/>
                <w:sz w:val="24"/>
                <w:lang w:eastAsia="zh-CN"/>
              </w:rPr>
              <w:t>）</w:t>
            </w:r>
            <w:r>
              <w:rPr>
                <w:rFonts w:hint="eastAsia"/>
                <w:color w:val="auto"/>
                <w:sz w:val="24"/>
              </w:rPr>
              <w:t>定尺、飞剪</w:t>
            </w:r>
            <w:r>
              <w:rPr>
                <w:rFonts w:hint="eastAsia"/>
                <w:color w:val="auto"/>
                <w:sz w:val="24"/>
                <w:lang w:eastAsia="zh-CN"/>
              </w:rPr>
              <w:t>：</w:t>
            </w:r>
            <w:r>
              <w:rPr>
                <w:rFonts w:hint="eastAsia"/>
                <w:color w:val="auto"/>
                <w:sz w:val="24"/>
              </w:rPr>
              <w:t>钢管根据需求，切割成一定长度的单根钢管，该工序中会产生金属粉尘及噪声。</w:t>
            </w:r>
          </w:p>
          <w:p w14:paraId="43DCE36A">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8</w:t>
            </w:r>
            <w:r>
              <w:rPr>
                <w:rFonts w:hint="eastAsia"/>
                <w:color w:val="auto"/>
                <w:sz w:val="24"/>
                <w:lang w:eastAsia="zh-CN"/>
              </w:rPr>
              <w:t>）</w:t>
            </w:r>
            <w:r>
              <w:rPr>
                <w:rFonts w:hint="eastAsia"/>
                <w:color w:val="auto"/>
                <w:sz w:val="24"/>
              </w:rPr>
              <w:t>超声波探伤检测</w:t>
            </w:r>
            <w:r>
              <w:rPr>
                <w:rFonts w:hint="eastAsia"/>
                <w:color w:val="auto"/>
                <w:sz w:val="24"/>
                <w:lang w:eastAsia="zh-CN"/>
              </w:rPr>
              <w:t>：</w:t>
            </w:r>
            <w:r>
              <w:rPr>
                <w:rFonts w:hint="eastAsia"/>
                <w:color w:val="auto"/>
                <w:sz w:val="24"/>
              </w:rPr>
              <w:t>利用机组内的超声波探伤装置对螺旋管进行检测。如发现存在缺陷则进行标记。</w:t>
            </w:r>
          </w:p>
          <w:p w14:paraId="41003976">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9</w:t>
            </w:r>
            <w:r>
              <w:rPr>
                <w:rFonts w:hint="eastAsia"/>
                <w:color w:val="auto"/>
                <w:sz w:val="24"/>
                <w:lang w:eastAsia="zh-CN"/>
              </w:rPr>
              <w:t>）</w:t>
            </w:r>
            <w:r>
              <w:rPr>
                <w:rFonts w:hint="eastAsia"/>
                <w:color w:val="auto"/>
                <w:sz w:val="24"/>
              </w:rPr>
              <w:t>平头倒棱</w:t>
            </w:r>
            <w:r>
              <w:rPr>
                <w:rFonts w:hint="eastAsia"/>
                <w:color w:val="auto"/>
                <w:sz w:val="24"/>
                <w:lang w:eastAsia="zh-CN"/>
              </w:rPr>
              <w:t>：</w:t>
            </w:r>
            <w:r>
              <w:rPr>
                <w:rFonts w:hint="eastAsia"/>
                <w:color w:val="auto"/>
                <w:sz w:val="24"/>
              </w:rPr>
              <w:t>利用平头倒棱机对钢管边线进行平整端面，去除毛刺，使其钢管管端圆滑，达到要求的管端坡口尺寸，该工序中会产生废边角料、金属粉尘及噪声。</w:t>
            </w:r>
          </w:p>
          <w:p w14:paraId="75FCAA68">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10</w:t>
            </w:r>
            <w:r>
              <w:rPr>
                <w:rFonts w:hint="eastAsia"/>
                <w:color w:val="auto"/>
                <w:sz w:val="24"/>
                <w:lang w:eastAsia="zh-CN"/>
              </w:rPr>
              <w:t>）</w:t>
            </w:r>
            <w:r>
              <w:rPr>
                <w:rFonts w:hint="eastAsia"/>
                <w:color w:val="auto"/>
                <w:sz w:val="24"/>
              </w:rPr>
              <w:t>补焊</w:t>
            </w:r>
            <w:r>
              <w:rPr>
                <w:rFonts w:hint="eastAsia"/>
                <w:color w:val="auto"/>
                <w:sz w:val="24"/>
                <w:lang w:eastAsia="zh-CN"/>
              </w:rPr>
              <w:t>：</w:t>
            </w:r>
            <w:r>
              <w:rPr>
                <w:rFonts w:hint="eastAsia"/>
                <w:color w:val="auto"/>
                <w:sz w:val="24"/>
              </w:rPr>
              <w:t>技术人员首先通过观察初步判断前述焊接工序是否存在明显缺陷，如发现存在缺陷则进行标记，采用手工电弧焊补焊进行修复，保证产品质量。该工序产生焊接烟尘、焊渣、噪声。</w:t>
            </w:r>
          </w:p>
          <w:p w14:paraId="407CA46D">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11</w:t>
            </w:r>
            <w:r>
              <w:rPr>
                <w:rFonts w:hint="eastAsia"/>
                <w:color w:val="auto"/>
                <w:sz w:val="24"/>
                <w:lang w:eastAsia="zh-CN"/>
              </w:rPr>
              <w:t>）</w:t>
            </w:r>
            <w:r>
              <w:rPr>
                <w:rFonts w:hint="eastAsia"/>
                <w:color w:val="auto"/>
                <w:sz w:val="24"/>
              </w:rPr>
              <w:t>水压测试</w:t>
            </w:r>
            <w:r>
              <w:rPr>
                <w:rFonts w:hint="eastAsia"/>
                <w:color w:val="auto"/>
                <w:sz w:val="24"/>
                <w:lang w:eastAsia="zh-CN"/>
              </w:rPr>
              <w:t>：</w:t>
            </w:r>
            <w:r>
              <w:rPr>
                <w:rFonts w:hint="eastAsia"/>
                <w:color w:val="auto"/>
                <w:sz w:val="24"/>
              </w:rPr>
              <w:t>补焊后的钢管进入水压测试工序，将钢管运至循环水池内的水压测试实验机内，将一端封闭，另一端通过泵将水直接通入管内，使水压达到4~5MPa后封闭另一端开始试压，此过程时间约10~20min，主要是对钢管的耐压能力和是否有裂缝进行检查。本项目对试压水水质要求不高，试压水循环使用，不外排，定期添加。试压完成后的钢管为了进一步保证产品的质量，将钢管运至X光室进行X光检测。该工序产生噪声。</w:t>
            </w:r>
          </w:p>
          <w:p w14:paraId="0840054D">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12</w:t>
            </w:r>
            <w:r>
              <w:rPr>
                <w:rFonts w:hint="eastAsia"/>
                <w:color w:val="auto"/>
                <w:sz w:val="24"/>
                <w:lang w:eastAsia="zh-CN"/>
              </w:rPr>
              <w:t>）</w:t>
            </w:r>
            <w:r>
              <w:rPr>
                <w:rFonts w:hint="eastAsia"/>
                <w:color w:val="auto"/>
                <w:sz w:val="24"/>
              </w:rPr>
              <w:t>X光检测</w:t>
            </w:r>
            <w:r>
              <w:rPr>
                <w:rFonts w:hint="eastAsia"/>
                <w:color w:val="auto"/>
                <w:sz w:val="24"/>
                <w:lang w:eastAsia="zh-CN"/>
              </w:rPr>
              <w:t>：</w:t>
            </w:r>
            <w:r>
              <w:rPr>
                <w:rFonts w:hint="eastAsia"/>
                <w:color w:val="auto"/>
                <w:sz w:val="24"/>
              </w:rPr>
              <w:t>水压测试后，对焊缝进行100%的X实时成像无损透照检测。</w:t>
            </w:r>
          </w:p>
          <w:p w14:paraId="7AFF7017">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13</w:t>
            </w:r>
            <w:r>
              <w:rPr>
                <w:rFonts w:hint="eastAsia"/>
                <w:color w:val="auto"/>
                <w:sz w:val="24"/>
                <w:lang w:eastAsia="zh-CN"/>
              </w:rPr>
              <w:t>）</w:t>
            </w:r>
            <w:r>
              <w:rPr>
                <w:rFonts w:hint="eastAsia"/>
                <w:color w:val="auto"/>
                <w:sz w:val="24"/>
              </w:rPr>
              <w:t>成品入库</w:t>
            </w:r>
            <w:r>
              <w:rPr>
                <w:rFonts w:hint="eastAsia"/>
                <w:color w:val="auto"/>
                <w:sz w:val="24"/>
                <w:lang w:eastAsia="zh-CN"/>
              </w:rPr>
              <w:t>：</w:t>
            </w:r>
            <w:r>
              <w:rPr>
                <w:rFonts w:hint="eastAsia"/>
                <w:color w:val="auto"/>
                <w:sz w:val="24"/>
              </w:rPr>
              <w:t>检测合格的产品部分作为螺旋管成品外售，部分进入下</w:t>
            </w:r>
            <w:r>
              <w:rPr>
                <w:rFonts w:hint="eastAsia"/>
                <w:color w:val="auto"/>
                <w:sz w:val="24"/>
                <w:lang w:eastAsia="zh-CN"/>
              </w:rPr>
              <w:t>一</w:t>
            </w:r>
            <w:r>
              <w:rPr>
                <w:rFonts w:hint="eastAsia"/>
                <w:color w:val="auto"/>
                <w:sz w:val="24"/>
              </w:rPr>
              <w:t>部分进行加工。</w:t>
            </w:r>
          </w:p>
          <w:p w14:paraId="1BC4C899">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14</w:t>
            </w:r>
            <w:r>
              <w:rPr>
                <w:rFonts w:hint="eastAsia"/>
                <w:color w:val="auto"/>
                <w:sz w:val="24"/>
                <w:lang w:eastAsia="zh-CN"/>
              </w:rPr>
              <w:t>）</w:t>
            </w:r>
            <w:r>
              <w:rPr>
                <w:rFonts w:hint="eastAsia"/>
                <w:color w:val="auto"/>
                <w:sz w:val="24"/>
              </w:rPr>
              <w:t>抛丸除锈</w:t>
            </w:r>
            <w:r>
              <w:rPr>
                <w:rFonts w:hint="eastAsia"/>
                <w:color w:val="auto"/>
                <w:sz w:val="24"/>
                <w:lang w:eastAsia="zh-CN"/>
              </w:rPr>
              <w:t>：</w:t>
            </w:r>
            <w:r>
              <w:rPr>
                <w:rFonts w:hint="eastAsia"/>
                <w:color w:val="auto"/>
                <w:sz w:val="24"/>
              </w:rPr>
              <w:t>采用抛丸机进行内外抛丸除锈。抛丸机主要将金属砂粒喷至钢管内部和外部表面，由于动能和势能作用，喷至物料表面会产生一定的撞击力，靠打击力和摩擦力清除表面的铁锈，并且在钢管表面形成1层薄薄的凹凸层，保证喷塑粉的附着率，主要功能为除锈，其次为增加表面的粗糙度，加强喷塑附着效果。本项目采用密闭抛丸设备。</w:t>
            </w:r>
          </w:p>
          <w:p w14:paraId="059D4389">
            <w:pPr>
              <w:spacing w:line="360" w:lineRule="auto"/>
              <w:ind w:firstLine="480" w:firstLineChars="200"/>
              <w:rPr>
                <w:rFonts w:hint="eastAsia"/>
                <w:color w:val="auto"/>
                <w:sz w:val="24"/>
              </w:rPr>
            </w:pPr>
            <w:r>
              <w:rPr>
                <w:rFonts w:hint="eastAsia"/>
                <w:color w:val="auto"/>
                <w:sz w:val="24"/>
              </w:rPr>
              <w:t>钢管内抛丸先由输送装置将钢管运送至内抛丸机内，液压装置带动叶轮高速推进旋转，从而带动钢丸撞击钢管内壁。</w:t>
            </w:r>
          </w:p>
          <w:p w14:paraId="26D63C95">
            <w:pPr>
              <w:spacing w:line="360" w:lineRule="auto"/>
              <w:ind w:firstLine="480" w:firstLineChars="200"/>
              <w:rPr>
                <w:rFonts w:hint="eastAsia"/>
                <w:color w:val="auto"/>
                <w:sz w:val="24"/>
              </w:rPr>
            </w:pPr>
            <w:r>
              <w:rPr>
                <w:rFonts w:hint="eastAsia"/>
                <w:color w:val="auto"/>
                <w:sz w:val="24"/>
              </w:rPr>
              <w:t>抛丸结束后，进入后端密闭吹扫工序，将钢管内外表面采用压缩空气进行吹扫，保证洁净度，吹扫系统与抛丸设备为一组成套设备。该工序会产生抛丸粉尘、废钢丸及噪声。</w:t>
            </w:r>
          </w:p>
          <w:p w14:paraId="6E868AAD">
            <w:pPr>
              <w:numPr>
                <w:ilvl w:val="0"/>
                <w:numId w:val="5"/>
              </w:numPr>
              <w:spacing w:line="360" w:lineRule="auto"/>
              <w:ind w:firstLine="480" w:firstLineChars="200"/>
              <w:rPr>
                <w:rFonts w:hint="eastAsia"/>
                <w:color w:val="auto"/>
                <w:sz w:val="24"/>
              </w:rPr>
            </w:pPr>
            <w:r>
              <w:rPr>
                <w:rFonts w:hint="eastAsia"/>
                <w:color w:val="auto"/>
                <w:sz w:val="24"/>
              </w:rPr>
              <w:t>电加热</w:t>
            </w:r>
            <w:r>
              <w:rPr>
                <w:rFonts w:hint="eastAsia"/>
                <w:color w:val="auto"/>
                <w:sz w:val="24"/>
                <w:lang w:eastAsia="zh-CN"/>
              </w:rPr>
              <w:t>：</w:t>
            </w:r>
            <w:r>
              <w:rPr>
                <w:rFonts w:hint="eastAsia"/>
                <w:color w:val="auto"/>
                <w:sz w:val="24"/>
              </w:rPr>
              <w:t>钢管防腐层涂敷前加热采用感应电加热，要求温度达到190-230</w:t>
            </w:r>
            <w:r>
              <w:rPr>
                <w:rFonts w:hint="eastAsia"/>
                <w:color w:val="auto"/>
                <w:sz w:val="24"/>
                <w:lang w:eastAsia="zh-CN"/>
              </w:rPr>
              <w:t>℃</w:t>
            </w:r>
            <w:r>
              <w:rPr>
                <w:rFonts w:hint="eastAsia"/>
                <w:color w:val="auto"/>
                <w:sz w:val="24"/>
              </w:rPr>
              <w:t>，钢管加热过程中采用红外线测温仪测量钢管温度。每隔1h测</w:t>
            </w:r>
            <w:r>
              <w:rPr>
                <w:rFonts w:hint="eastAsia"/>
                <w:color w:val="auto"/>
                <w:sz w:val="24"/>
                <w:lang w:eastAsia="zh-CN"/>
              </w:rPr>
              <w:t>量并记</w:t>
            </w:r>
            <w:r>
              <w:rPr>
                <w:rFonts w:hint="eastAsia"/>
                <w:color w:val="auto"/>
                <w:sz w:val="24"/>
              </w:rPr>
              <w:t>录一次钢管的加热温度，同时根据所用的环氧树脂粉末的固化温度和涂敷时钢</w:t>
            </w:r>
            <w:r>
              <w:rPr>
                <w:rFonts w:hint="eastAsia"/>
                <w:color w:val="auto"/>
                <w:sz w:val="24"/>
                <w:lang w:eastAsia="zh-CN"/>
              </w:rPr>
              <w:t>管</w:t>
            </w:r>
            <w:r>
              <w:rPr>
                <w:rFonts w:hint="eastAsia"/>
                <w:color w:val="auto"/>
                <w:sz w:val="24"/>
              </w:rPr>
              <w:t>的运行速度随时进行调整。</w:t>
            </w:r>
          </w:p>
          <w:p w14:paraId="09BD431B">
            <w:pPr>
              <w:numPr>
                <w:ilvl w:val="0"/>
                <w:numId w:val="5"/>
              </w:numPr>
              <w:spacing w:line="360" w:lineRule="auto"/>
              <w:ind w:firstLine="480" w:firstLineChars="200"/>
              <w:rPr>
                <w:rFonts w:hint="eastAsia"/>
                <w:color w:val="auto"/>
                <w:sz w:val="24"/>
              </w:rPr>
            </w:pPr>
            <w:r>
              <w:rPr>
                <w:rFonts w:hint="eastAsia"/>
                <w:color w:val="auto"/>
                <w:sz w:val="24"/>
              </w:rPr>
              <w:t>喷塑</w:t>
            </w:r>
            <w:r>
              <w:rPr>
                <w:rFonts w:hint="eastAsia"/>
                <w:color w:val="auto"/>
                <w:sz w:val="24"/>
                <w:lang w:eastAsia="zh-CN"/>
              </w:rPr>
              <w:t>：</w:t>
            </w:r>
            <w:r>
              <w:rPr>
                <w:rFonts w:hint="eastAsia"/>
                <w:color w:val="auto"/>
                <w:sz w:val="24"/>
              </w:rPr>
              <w:t>先对内管进行滚涂，加热后的钢管运至转管机，通过涂覆</w:t>
            </w:r>
            <w:r>
              <w:rPr>
                <w:rFonts w:hint="eastAsia"/>
                <w:color w:val="auto"/>
                <w:sz w:val="24"/>
                <w:lang w:eastAsia="zh-CN"/>
              </w:rPr>
              <w:t>防腐</w:t>
            </w:r>
            <w:r>
              <w:rPr>
                <w:rFonts w:hint="eastAsia"/>
                <w:color w:val="auto"/>
                <w:sz w:val="24"/>
              </w:rPr>
              <w:t>设备将环氧树脂粉末自动送至钢管内壁，高温钢管在旋转的过程中依靠离心力作用，使熔融状态下的环氧树脂粉末均匀粘连到钢管内。内滚涂后进行外喷涂，钢管平稳匀速地旋转进入喷粉室后，用喷枪对钢管表面均匀施粉。环氧树脂粉末在静电作用下被吸附到钢管表面，并在高温下迅速胶化。钢管出口与胶带、PE带缠绕工序相连</w:t>
            </w:r>
          </w:p>
          <w:p w14:paraId="11DCB980">
            <w:pPr>
              <w:spacing w:line="360" w:lineRule="auto"/>
              <w:ind w:firstLine="480" w:firstLineChars="200"/>
              <w:rPr>
                <w:rFonts w:hint="eastAsia"/>
                <w:color w:val="auto"/>
                <w:sz w:val="24"/>
              </w:rPr>
            </w:pPr>
            <w:r>
              <w:rPr>
                <w:rFonts w:hint="eastAsia"/>
                <w:color w:val="auto"/>
                <w:sz w:val="24"/>
              </w:rPr>
              <w:t>喷塑后不需要烘干，通过静电和重力作用均匀地吸附在热的钢管表面，并迅速熔结成一层厚度均匀的涂层，其作用是与钢管基体形成金属键而与中间胶粘剂形成化学胶粘，具有耐腐蚀和抗阴极剥离的性能。</w:t>
            </w:r>
          </w:p>
          <w:p w14:paraId="4C6B177A">
            <w:pPr>
              <w:spacing w:line="360" w:lineRule="auto"/>
              <w:ind w:firstLine="480" w:firstLineChars="200"/>
              <w:rPr>
                <w:rFonts w:hint="eastAsia"/>
                <w:color w:val="auto"/>
                <w:sz w:val="24"/>
              </w:rPr>
            </w:pPr>
            <w:r>
              <w:rPr>
                <w:rFonts w:hint="eastAsia"/>
                <w:color w:val="auto"/>
                <w:sz w:val="24"/>
              </w:rPr>
              <w:t>该工序会产生喷塑粉尘、有机废气及噪声。</w:t>
            </w:r>
          </w:p>
          <w:p w14:paraId="6548D362">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17</w:t>
            </w:r>
            <w:r>
              <w:rPr>
                <w:rFonts w:hint="eastAsia"/>
                <w:color w:val="auto"/>
                <w:sz w:val="24"/>
                <w:lang w:eastAsia="zh-CN"/>
              </w:rPr>
              <w:t>）</w:t>
            </w:r>
            <w:r>
              <w:rPr>
                <w:rFonts w:hint="eastAsia"/>
                <w:color w:val="auto"/>
                <w:sz w:val="24"/>
              </w:rPr>
              <w:t>水冷定形</w:t>
            </w:r>
            <w:r>
              <w:rPr>
                <w:rFonts w:hint="eastAsia"/>
                <w:color w:val="auto"/>
                <w:sz w:val="24"/>
                <w:lang w:eastAsia="zh-CN"/>
              </w:rPr>
              <w:t>：</w:t>
            </w:r>
            <w:r>
              <w:rPr>
                <w:rFonts w:hint="eastAsia"/>
                <w:color w:val="auto"/>
                <w:sz w:val="24"/>
              </w:rPr>
              <w:t>喷塑工序后钢管要进行水冷以降低其温度，钢管进入水冷却传动线部分，在水冷处前后两端的上部设有喷水管，喷水管的水对钢管进行直接接触，冷却循环水均匀喷洒在涂敷管表面使涂层逐渐冷却变硬，使出口处的钢管温度达到标准要求(≤60°C)。</w:t>
            </w:r>
          </w:p>
          <w:p w14:paraId="63633864">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18</w:t>
            </w:r>
            <w:r>
              <w:rPr>
                <w:rFonts w:hint="eastAsia"/>
                <w:color w:val="auto"/>
                <w:sz w:val="24"/>
                <w:lang w:eastAsia="zh-CN"/>
              </w:rPr>
              <w:t>）</w:t>
            </w:r>
            <w:r>
              <w:rPr>
                <w:rFonts w:hint="eastAsia"/>
                <w:color w:val="auto"/>
                <w:sz w:val="24"/>
              </w:rPr>
              <w:t>成品入库</w:t>
            </w:r>
            <w:r>
              <w:rPr>
                <w:rFonts w:hint="eastAsia"/>
                <w:color w:val="auto"/>
                <w:sz w:val="24"/>
                <w:lang w:eastAsia="zh-CN"/>
              </w:rPr>
              <w:t>：</w:t>
            </w:r>
            <w:r>
              <w:rPr>
                <w:rFonts w:hint="eastAsia"/>
                <w:color w:val="auto"/>
                <w:sz w:val="24"/>
              </w:rPr>
              <w:t>喷塑、水冷定形后的产品部分作为喷塑防腐螺旋管出售，喷塑后</w:t>
            </w:r>
            <w:r>
              <w:rPr>
                <w:rFonts w:hint="eastAsia"/>
                <w:color w:val="auto"/>
                <w:sz w:val="24"/>
                <w:lang w:eastAsia="zh-CN"/>
              </w:rPr>
              <w:t>（</w:t>
            </w:r>
            <w:r>
              <w:rPr>
                <w:rFonts w:hint="eastAsia"/>
                <w:color w:val="auto"/>
                <w:sz w:val="24"/>
              </w:rPr>
              <w:t>未经水冷定形</w:t>
            </w:r>
            <w:r>
              <w:rPr>
                <w:rFonts w:hint="eastAsia"/>
                <w:color w:val="auto"/>
                <w:sz w:val="24"/>
                <w:lang w:eastAsia="zh-CN"/>
              </w:rPr>
              <w:t>）</w:t>
            </w:r>
            <w:r>
              <w:rPr>
                <w:rFonts w:hint="eastAsia"/>
                <w:color w:val="auto"/>
                <w:sz w:val="24"/>
              </w:rPr>
              <w:t>部分进入下一部分进行加工。</w:t>
            </w:r>
          </w:p>
          <w:p w14:paraId="7829E4FF">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19</w:t>
            </w:r>
            <w:r>
              <w:rPr>
                <w:rFonts w:hint="eastAsia"/>
                <w:color w:val="auto"/>
                <w:sz w:val="24"/>
                <w:lang w:eastAsia="zh-CN"/>
              </w:rPr>
              <w:t>）</w:t>
            </w:r>
            <w:r>
              <w:rPr>
                <w:rFonts w:hint="eastAsia"/>
                <w:color w:val="auto"/>
                <w:sz w:val="24"/>
              </w:rPr>
              <w:t>胶带、PE带缠绕</w:t>
            </w:r>
            <w:r>
              <w:rPr>
                <w:rFonts w:hint="eastAsia"/>
                <w:color w:val="auto"/>
                <w:sz w:val="24"/>
                <w:lang w:eastAsia="zh-CN"/>
              </w:rPr>
              <w:t>：</w:t>
            </w:r>
            <w:r>
              <w:rPr>
                <w:rFonts w:hint="eastAsia"/>
                <w:color w:val="auto"/>
                <w:sz w:val="24"/>
              </w:rPr>
              <w:t>外购的胶带、PE带经喷塑缠绕一体生产线缠绕装置在钢管外壁上先缠绕胶带后缠绕PE带处理，该工序会产生有机废气及噪声。</w:t>
            </w:r>
          </w:p>
          <w:p w14:paraId="290C182B">
            <w:pPr>
              <w:spacing w:line="360" w:lineRule="auto"/>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20</w:t>
            </w:r>
            <w:r>
              <w:rPr>
                <w:rFonts w:hint="eastAsia"/>
                <w:color w:val="auto"/>
                <w:sz w:val="24"/>
                <w:lang w:eastAsia="zh-CN"/>
              </w:rPr>
              <w:t>）</w:t>
            </w:r>
            <w:r>
              <w:rPr>
                <w:rFonts w:hint="eastAsia"/>
                <w:color w:val="auto"/>
                <w:sz w:val="24"/>
              </w:rPr>
              <w:t>水冷定形</w:t>
            </w:r>
            <w:r>
              <w:rPr>
                <w:rFonts w:hint="eastAsia"/>
                <w:color w:val="auto"/>
                <w:sz w:val="24"/>
                <w:lang w:eastAsia="zh-CN"/>
              </w:rPr>
              <w:t>：</w:t>
            </w:r>
            <w:r>
              <w:rPr>
                <w:rFonts w:hint="eastAsia"/>
                <w:color w:val="auto"/>
                <w:sz w:val="24"/>
              </w:rPr>
              <w:t>胶带、PE带缠绕工序后钢管要进行水冷以降低其温度钢管进入水冷却传动线部分，在水冷处前后两端的上部设有喷水管，喷水管的水对钢管进行直接接触，冷却循环水均匀喷洒在涂敷管表面使涂层逐渐冷却变硬，使出口处的钢管温度达到标准要求(≤60°C)</w:t>
            </w:r>
          </w:p>
          <w:p w14:paraId="7165FFDD">
            <w:pPr>
              <w:spacing w:line="360" w:lineRule="auto"/>
              <w:ind w:firstLine="480" w:firstLineChars="200"/>
              <w:rPr>
                <w:rFonts w:hint="eastAsia"/>
                <w:color w:val="auto"/>
                <w:sz w:val="24"/>
              </w:rPr>
            </w:pPr>
            <w:r>
              <w:rPr>
                <w:rFonts w:hint="eastAsia"/>
                <w:color w:val="auto"/>
                <w:sz w:val="24"/>
              </w:rPr>
              <w:t>本项目在喷塑、胶带、PE带缠绕工序后钢管要进行水冷以降低其温度，冷却循环水使用一段时间后，冷却循环水池底部会沉积一定的沉渣，每月对沉渣进行清掏。</w:t>
            </w:r>
          </w:p>
          <w:p w14:paraId="0CD9CD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rFonts w:hint="eastAsia"/>
                <w:color w:val="auto"/>
                <w:sz w:val="24"/>
              </w:rPr>
              <w:t>企业外购钢卷为清洗除油后的钢卷，钢卷在螺旋管埋弧焊机组、抛丸机等加工过程中也不会接触到设备的润滑油、液压油，故冷却循环水中基本不含油类物质</w:t>
            </w:r>
            <w:r>
              <w:rPr>
                <w:rFonts w:hint="eastAsia"/>
                <w:color w:val="auto"/>
                <w:sz w:val="24"/>
                <w:lang w:eastAsia="zh-CN"/>
              </w:rPr>
              <w:t>；</w:t>
            </w:r>
            <w:r>
              <w:rPr>
                <w:rFonts w:hint="eastAsia"/>
                <w:color w:val="auto"/>
                <w:sz w:val="24"/>
              </w:rPr>
              <w:t>并且水冷定形对水质无要求，根据建设单位介绍，总公司</w:t>
            </w:r>
            <w:r>
              <w:rPr>
                <w:rFonts w:hint="eastAsia"/>
                <w:color w:val="auto"/>
                <w:sz w:val="24"/>
                <w:lang w:eastAsia="zh-CN"/>
              </w:rPr>
              <w:t>（</w:t>
            </w:r>
            <w:r>
              <w:rPr>
                <w:rFonts w:hint="eastAsia"/>
                <w:color w:val="auto"/>
                <w:sz w:val="24"/>
              </w:rPr>
              <w:t>浙江鑫桦钢管有限公司</w:t>
            </w:r>
            <w:r>
              <w:rPr>
                <w:rFonts w:hint="eastAsia"/>
                <w:color w:val="auto"/>
                <w:sz w:val="24"/>
                <w:lang w:eastAsia="zh-CN"/>
              </w:rPr>
              <w:t>）</w:t>
            </w:r>
            <w:r>
              <w:rPr>
                <w:rFonts w:hint="eastAsia"/>
                <w:color w:val="auto"/>
                <w:sz w:val="24"/>
              </w:rPr>
              <w:t>及其他同类行业这部分的水冷定形冷却循环水均做到了循环使用，不外排。</w:t>
            </w:r>
          </w:p>
          <w:p w14:paraId="73038E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rFonts w:hint="eastAsia"/>
                <w:color w:val="auto"/>
                <w:sz w:val="24"/>
                <w:lang w:eastAsia="zh-CN"/>
              </w:rPr>
              <w:t>（</w:t>
            </w:r>
            <w:r>
              <w:rPr>
                <w:rFonts w:hint="eastAsia"/>
                <w:color w:val="auto"/>
                <w:sz w:val="24"/>
                <w:lang w:val="en-US" w:eastAsia="zh-CN"/>
              </w:rPr>
              <w:t>21</w:t>
            </w:r>
            <w:r>
              <w:rPr>
                <w:rFonts w:hint="eastAsia"/>
                <w:color w:val="auto"/>
                <w:sz w:val="24"/>
                <w:lang w:eastAsia="zh-CN"/>
              </w:rPr>
              <w:t>）</w:t>
            </w:r>
            <w:r>
              <w:rPr>
                <w:rFonts w:hint="eastAsia"/>
                <w:color w:val="auto"/>
                <w:sz w:val="24"/>
              </w:rPr>
              <w:t>成品入库</w:t>
            </w:r>
            <w:r>
              <w:rPr>
                <w:rFonts w:hint="eastAsia"/>
                <w:color w:val="auto"/>
                <w:sz w:val="24"/>
                <w:lang w:eastAsia="zh-CN"/>
              </w:rPr>
              <w:t>：</w:t>
            </w:r>
            <w:r>
              <w:rPr>
                <w:rFonts w:hint="eastAsia"/>
                <w:color w:val="auto"/>
                <w:sz w:val="24"/>
              </w:rPr>
              <w:t>将胶带、PE带缠绕、水冷定形后的螺旋管作为3PE防腐螺旋管出售。</w:t>
            </w:r>
          </w:p>
          <w:p w14:paraId="7433BC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lang w:val="en-US" w:eastAsia="zh-CN"/>
              </w:rPr>
              <w:t>3、</w:t>
            </w:r>
            <w:r>
              <w:rPr>
                <w:rFonts w:hint="eastAsia"/>
                <w:color w:val="auto"/>
                <w:sz w:val="24"/>
                <w:lang w:eastAsia="zh-CN"/>
              </w:rPr>
              <w:t>大管径钢管生产</w:t>
            </w:r>
            <w:r>
              <w:rPr>
                <w:rFonts w:hint="eastAsia"/>
                <w:color w:val="auto"/>
                <w:sz w:val="24"/>
                <w:szCs w:val="24"/>
                <w:lang w:eastAsia="zh-CN"/>
              </w:rPr>
              <w:t>工艺流程图</w:t>
            </w:r>
          </w:p>
          <w:p w14:paraId="4277A9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rPr>
              <w:t>工艺流程及产污节点图详见下图</w:t>
            </w:r>
            <w:r>
              <w:rPr>
                <w:rFonts w:hint="eastAsia"/>
                <w:color w:val="auto"/>
                <w:sz w:val="24"/>
                <w:lang w:val="en-US" w:eastAsia="zh-CN"/>
              </w:rPr>
              <w:t>2-2</w:t>
            </w:r>
          </w:p>
          <w:p w14:paraId="76076C1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color w:val="auto"/>
                <w:sz w:val="24"/>
                <w:lang w:val="en-US" w:eastAsia="zh-CN"/>
              </w:rPr>
            </w:pPr>
            <w:r>
              <w:rPr>
                <w:rFonts w:hint="eastAsia" w:eastAsia="宋体"/>
                <w:color w:val="auto"/>
                <w:lang w:eastAsia="zh-CN"/>
              </w:rPr>
              <w:object>
                <v:shape id="_x0000_i1027" o:spt="75" type="#_x0000_t75" style="height:281.75pt;width:233.45pt;" o:ole="t" filled="f" o:preferrelative="t" stroked="f" coordsize="21600,21600">
                  <v:path/>
                  <v:fill on="f" focussize="0,0"/>
                  <v:stroke on="f"/>
                  <v:imagedata r:id="rId15" o:title=""/>
                  <o:lock v:ext="edit" aspectratio="f"/>
                  <w10:wrap type="none"/>
                  <w10:anchorlock/>
                </v:shape>
                <o:OLEObject Type="Embed" ProgID="Visio.Drawing.11" ShapeID="_x0000_i1027" DrawAspect="Content" ObjectID="_1468075727" r:id="rId14">
                  <o:LockedField>false</o:LockedField>
                </o:OLEObject>
              </w:object>
            </w:r>
          </w:p>
          <w:p w14:paraId="7C3548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lang w:val="en-US" w:eastAsia="zh-CN"/>
              </w:rPr>
            </w:pPr>
            <w:r>
              <w:rPr>
                <w:rFonts w:hint="eastAsia"/>
                <w:color w:val="auto"/>
                <w:sz w:val="24"/>
                <w:lang w:val="en-US" w:eastAsia="zh-CN"/>
              </w:rPr>
              <w:t>4、</w:t>
            </w:r>
            <w:r>
              <w:rPr>
                <w:rFonts w:hint="eastAsia"/>
                <w:color w:val="auto"/>
                <w:sz w:val="24"/>
                <w:lang w:eastAsia="zh-CN"/>
              </w:rPr>
              <w:t>大管径钢管生产</w:t>
            </w:r>
            <w:r>
              <w:rPr>
                <w:rFonts w:hint="eastAsia"/>
                <w:color w:val="auto"/>
                <w:sz w:val="24"/>
                <w:szCs w:val="24"/>
                <w:lang w:eastAsia="zh-CN"/>
              </w:rPr>
              <w:t>工艺流程简述：</w:t>
            </w:r>
          </w:p>
          <w:p w14:paraId="11CBDB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（1）压弯：外购钢板先采用重型压弯机压成所需的弯曲状，该工序会产生噪声。</w:t>
            </w:r>
          </w:p>
          <w:p w14:paraId="487D5B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（2）卷管压弯成型后的钢板送入三辊卷管机，卷成圆状，该工序产生噪声</w:t>
            </w:r>
          </w:p>
          <w:p w14:paraId="108DB8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lang w:val="en-US" w:eastAsia="zh-CN"/>
              </w:rPr>
              <w:t>（3）焊接：采用电焊机进行埋弧焊接，该工序产生焊接烟尘、焊渣、噪声。</w:t>
            </w:r>
          </w:p>
          <w:p w14:paraId="543A74A4">
            <w:pPr>
              <w:pStyle w:val="103"/>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表2-</w:t>
            </w:r>
            <w:r>
              <w:rPr>
                <w:rFonts w:hint="default" w:ascii="Times New Roman" w:hAnsi="Times New Roman" w:cs="Times New Roman"/>
                <w:color w:val="auto"/>
                <w:lang w:val="en-US" w:eastAsia="zh-CN"/>
              </w:rPr>
              <w:t>7</w:t>
            </w:r>
            <w:r>
              <w:rPr>
                <w:rFonts w:hint="default" w:ascii="Times New Roman" w:hAnsi="Times New Roman" w:cs="Times New Roman"/>
                <w:color w:val="auto"/>
              </w:rPr>
              <w:t xml:space="preserve"> 项目主要污染</w:t>
            </w:r>
            <w:r>
              <w:rPr>
                <w:rFonts w:hint="default" w:ascii="Times New Roman" w:hAnsi="Times New Roman" w:cs="Times New Roman"/>
                <w:color w:val="auto"/>
                <w:lang w:eastAsia="zh-CN"/>
              </w:rPr>
              <w:t>工序</w:t>
            </w:r>
            <w:r>
              <w:rPr>
                <w:rFonts w:hint="default" w:ascii="Times New Roman" w:hAnsi="Times New Roman" w:cs="Times New Roman"/>
                <w:color w:val="auto"/>
              </w:rPr>
              <w:t>一览表</w:t>
            </w:r>
          </w:p>
          <w:tbl>
            <w:tblPr>
              <w:tblStyle w:val="34"/>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869"/>
              <w:gridCol w:w="2980"/>
              <w:gridCol w:w="4714"/>
            </w:tblGrid>
            <w:tr w14:paraId="02505C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909" w:type="pct"/>
                  <w:gridSpan w:val="2"/>
                  <w:tcBorders>
                    <w:tl2br w:val="nil"/>
                    <w:tr2bl w:val="nil"/>
                  </w:tcBorders>
                  <w:vAlign w:val="center"/>
                </w:tcPr>
                <w:p w14:paraId="533FE33E">
                  <w:pPr>
                    <w:jc w:val="center"/>
                    <w:rPr>
                      <w:color w:val="auto"/>
                    </w:rPr>
                  </w:pPr>
                  <w:r>
                    <w:rPr>
                      <w:color w:val="auto"/>
                    </w:rPr>
                    <w:t>污染类别</w:t>
                  </w:r>
                </w:p>
              </w:tc>
              <w:tc>
                <w:tcPr>
                  <w:tcW w:w="1584" w:type="pct"/>
                  <w:tcBorders>
                    <w:tl2br w:val="nil"/>
                    <w:tr2bl w:val="nil"/>
                  </w:tcBorders>
                  <w:vAlign w:val="center"/>
                </w:tcPr>
                <w:p w14:paraId="7FE20465">
                  <w:pPr>
                    <w:jc w:val="center"/>
                    <w:rPr>
                      <w:color w:val="auto"/>
                    </w:rPr>
                  </w:pPr>
                  <w:r>
                    <w:rPr>
                      <w:color w:val="auto"/>
                    </w:rPr>
                    <w:t>来  源</w:t>
                  </w:r>
                </w:p>
              </w:tc>
              <w:tc>
                <w:tcPr>
                  <w:tcW w:w="2506" w:type="pct"/>
                  <w:tcBorders>
                    <w:tl2br w:val="nil"/>
                    <w:tr2bl w:val="nil"/>
                  </w:tcBorders>
                  <w:vAlign w:val="center"/>
                </w:tcPr>
                <w:p w14:paraId="77ECB25D">
                  <w:pPr>
                    <w:jc w:val="center"/>
                    <w:rPr>
                      <w:color w:val="auto"/>
                    </w:rPr>
                  </w:pPr>
                  <w:r>
                    <w:rPr>
                      <w:color w:val="auto"/>
                    </w:rPr>
                    <w:t>污染物种类</w:t>
                  </w:r>
                </w:p>
              </w:tc>
            </w:tr>
            <w:tr w14:paraId="57DC7E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7" w:type="pct"/>
                  <w:vMerge w:val="restart"/>
                  <w:tcBorders>
                    <w:tl2br w:val="nil"/>
                    <w:tr2bl w:val="nil"/>
                  </w:tcBorders>
                  <w:vAlign w:val="center"/>
                </w:tcPr>
                <w:p w14:paraId="3AFEB4F6">
                  <w:pPr>
                    <w:jc w:val="center"/>
                    <w:rPr>
                      <w:color w:val="auto"/>
                    </w:rPr>
                  </w:pPr>
                  <w:r>
                    <w:rPr>
                      <w:color w:val="auto"/>
                    </w:rPr>
                    <w:t>营运期</w:t>
                  </w:r>
                </w:p>
              </w:tc>
              <w:tc>
                <w:tcPr>
                  <w:tcW w:w="462" w:type="pct"/>
                  <w:vMerge w:val="restart"/>
                  <w:tcBorders>
                    <w:tl2br w:val="nil"/>
                    <w:tr2bl w:val="nil"/>
                  </w:tcBorders>
                  <w:vAlign w:val="center"/>
                </w:tcPr>
                <w:p w14:paraId="7F6276E1">
                  <w:pPr>
                    <w:jc w:val="center"/>
                    <w:rPr>
                      <w:color w:val="auto"/>
                    </w:rPr>
                  </w:pPr>
                  <w:r>
                    <w:rPr>
                      <w:color w:val="auto"/>
                    </w:rPr>
                    <w:t>废气</w:t>
                  </w:r>
                </w:p>
              </w:tc>
              <w:tc>
                <w:tcPr>
                  <w:tcW w:w="1584" w:type="pct"/>
                  <w:tcBorders>
                    <w:tl2br w:val="nil"/>
                    <w:tr2bl w:val="nil"/>
                  </w:tcBorders>
                  <w:vAlign w:val="center"/>
                </w:tcPr>
                <w:p w14:paraId="1AC798B8">
                  <w:pPr>
                    <w:jc w:val="center"/>
                    <w:rPr>
                      <w:color w:val="auto"/>
                    </w:rPr>
                  </w:pPr>
                  <w:r>
                    <w:rPr>
                      <w:rFonts w:hint="eastAsia"/>
                      <w:color w:val="auto"/>
                    </w:rPr>
                    <w:t>圆盘剪铣边、飞剪、平头倒棱</w:t>
                  </w:r>
                </w:p>
              </w:tc>
              <w:tc>
                <w:tcPr>
                  <w:tcW w:w="2506" w:type="pct"/>
                  <w:tcBorders>
                    <w:tl2br w:val="nil"/>
                    <w:tr2bl w:val="nil"/>
                  </w:tcBorders>
                  <w:vAlign w:val="center"/>
                </w:tcPr>
                <w:p w14:paraId="2E712DB6">
                  <w:pPr>
                    <w:jc w:val="center"/>
                    <w:rPr>
                      <w:color w:val="auto"/>
                    </w:rPr>
                  </w:pPr>
                  <w:r>
                    <w:rPr>
                      <w:rFonts w:hint="eastAsia"/>
                      <w:color w:val="auto"/>
                    </w:rPr>
                    <w:t>颗粒物</w:t>
                  </w:r>
                </w:p>
              </w:tc>
            </w:tr>
            <w:tr w14:paraId="28710E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7" w:type="pct"/>
                  <w:vMerge w:val="continue"/>
                  <w:tcBorders>
                    <w:tl2br w:val="nil"/>
                    <w:tr2bl w:val="nil"/>
                  </w:tcBorders>
                  <w:vAlign w:val="center"/>
                </w:tcPr>
                <w:p w14:paraId="76CE68AA">
                  <w:pPr>
                    <w:jc w:val="center"/>
                    <w:rPr>
                      <w:color w:val="auto"/>
                    </w:rPr>
                  </w:pPr>
                </w:p>
              </w:tc>
              <w:tc>
                <w:tcPr>
                  <w:tcW w:w="462" w:type="pct"/>
                  <w:vMerge w:val="continue"/>
                  <w:tcBorders>
                    <w:tl2br w:val="nil"/>
                    <w:tr2bl w:val="nil"/>
                  </w:tcBorders>
                  <w:vAlign w:val="center"/>
                </w:tcPr>
                <w:p w14:paraId="59E43F3A">
                  <w:pPr>
                    <w:jc w:val="center"/>
                    <w:rPr>
                      <w:color w:val="auto"/>
                    </w:rPr>
                  </w:pPr>
                </w:p>
              </w:tc>
              <w:tc>
                <w:tcPr>
                  <w:tcW w:w="1584" w:type="pct"/>
                  <w:tcBorders>
                    <w:tl2br w:val="nil"/>
                    <w:tr2bl w:val="nil"/>
                  </w:tcBorders>
                  <w:vAlign w:val="center"/>
                </w:tcPr>
                <w:p w14:paraId="03118F10">
                  <w:pPr>
                    <w:jc w:val="center"/>
                    <w:rPr>
                      <w:color w:val="auto"/>
                    </w:rPr>
                  </w:pPr>
                  <w:r>
                    <w:rPr>
                      <w:rFonts w:hint="eastAsia"/>
                      <w:color w:val="auto"/>
                    </w:rPr>
                    <w:t>焊接</w:t>
                  </w:r>
                </w:p>
              </w:tc>
              <w:tc>
                <w:tcPr>
                  <w:tcW w:w="2506" w:type="pct"/>
                  <w:tcBorders>
                    <w:tl2br w:val="nil"/>
                    <w:tr2bl w:val="nil"/>
                  </w:tcBorders>
                  <w:vAlign w:val="center"/>
                </w:tcPr>
                <w:p w14:paraId="526790EB">
                  <w:pPr>
                    <w:jc w:val="center"/>
                    <w:rPr>
                      <w:color w:val="auto"/>
                    </w:rPr>
                  </w:pPr>
                  <w:r>
                    <w:rPr>
                      <w:rFonts w:hint="eastAsia"/>
                      <w:color w:val="auto"/>
                    </w:rPr>
                    <w:t>颗粒物</w:t>
                  </w:r>
                </w:p>
              </w:tc>
            </w:tr>
            <w:tr w14:paraId="002282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447" w:type="pct"/>
                  <w:vMerge w:val="continue"/>
                  <w:tcBorders>
                    <w:tl2br w:val="nil"/>
                    <w:tr2bl w:val="nil"/>
                  </w:tcBorders>
                  <w:vAlign w:val="center"/>
                </w:tcPr>
                <w:p w14:paraId="2D607558">
                  <w:pPr>
                    <w:jc w:val="center"/>
                    <w:rPr>
                      <w:color w:val="auto"/>
                    </w:rPr>
                  </w:pPr>
                </w:p>
              </w:tc>
              <w:tc>
                <w:tcPr>
                  <w:tcW w:w="462" w:type="pct"/>
                  <w:vMerge w:val="continue"/>
                  <w:tcBorders>
                    <w:tl2br w:val="nil"/>
                    <w:tr2bl w:val="nil"/>
                  </w:tcBorders>
                  <w:vAlign w:val="center"/>
                </w:tcPr>
                <w:p w14:paraId="1939F67B">
                  <w:pPr>
                    <w:jc w:val="center"/>
                    <w:rPr>
                      <w:color w:val="auto"/>
                    </w:rPr>
                  </w:pPr>
                </w:p>
              </w:tc>
              <w:tc>
                <w:tcPr>
                  <w:tcW w:w="1584" w:type="pct"/>
                  <w:tcBorders>
                    <w:tl2br w:val="nil"/>
                    <w:tr2bl w:val="nil"/>
                  </w:tcBorders>
                  <w:vAlign w:val="center"/>
                </w:tcPr>
                <w:p w14:paraId="4EA57040">
                  <w:pPr>
                    <w:jc w:val="center"/>
                    <w:rPr>
                      <w:color w:val="auto"/>
                    </w:rPr>
                  </w:pPr>
                  <w:r>
                    <w:rPr>
                      <w:rFonts w:hint="eastAsia"/>
                      <w:color w:val="auto"/>
                    </w:rPr>
                    <w:t>抛丸</w:t>
                  </w:r>
                </w:p>
              </w:tc>
              <w:tc>
                <w:tcPr>
                  <w:tcW w:w="2506" w:type="pct"/>
                  <w:tcBorders>
                    <w:tl2br w:val="nil"/>
                    <w:tr2bl w:val="nil"/>
                  </w:tcBorders>
                  <w:vAlign w:val="center"/>
                </w:tcPr>
                <w:p w14:paraId="6FE264BD">
                  <w:pPr>
                    <w:jc w:val="center"/>
                    <w:rPr>
                      <w:color w:val="auto"/>
                    </w:rPr>
                  </w:pPr>
                  <w:r>
                    <w:rPr>
                      <w:rFonts w:hint="eastAsia"/>
                      <w:color w:val="auto"/>
                    </w:rPr>
                    <w:t>颗粒物</w:t>
                  </w:r>
                </w:p>
              </w:tc>
            </w:tr>
            <w:tr w14:paraId="366E8D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7" w:type="pct"/>
                  <w:vMerge w:val="continue"/>
                  <w:tcBorders>
                    <w:tl2br w:val="nil"/>
                    <w:tr2bl w:val="nil"/>
                  </w:tcBorders>
                  <w:vAlign w:val="center"/>
                </w:tcPr>
                <w:p w14:paraId="267ED7E6">
                  <w:pPr>
                    <w:jc w:val="center"/>
                    <w:rPr>
                      <w:color w:val="auto"/>
                    </w:rPr>
                  </w:pPr>
                </w:p>
              </w:tc>
              <w:tc>
                <w:tcPr>
                  <w:tcW w:w="462" w:type="pct"/>
                  <w:vMerge w:val="continue"/>
                  <w:tcBorders>
                    <w:tl2br w:val="nil"/>
                    <w:tr2bl w:val="nil"/>
                  </w:tcBorders>
                  <w:vAlign w:val="center"/>
                </w:tcPr>
                <w:p w14:paraId="28A5115C">
                  <w:pPr>
                    <w:jc w:val="center"/>
                    <w:rPr>
                      <w:color w:val="auto"/>
                    </w:rPr>
                  </w:pPr>
                </w:p>
              </w:tc>
              <w:tc>
                <w:tcPr>
                  <w:tcW w:w="1584" w:type="pct"/>
                  <w:tcBorders>
                    <w:tl2br w:val="nil"/>
                    <w:tr2bl w:val="nil"/>
                  </w:tcBorders>
                  <w:vAlign w:val="center"/>
                </w:tcPr>
                <w:p w14:paraId="2FC000CB">
                  <w:pPr>
                    <w:jc w:val="center"/>
                    <w:rPr>
                      <w:color w:val="auto"/>
                    </w:rPr>
                  </w:pPr>
                  <w:r>
                    <w:rPr>
                      <w:rFonts w:hint="eastAsia"/>
                      <w:color w:val="auto"/>
                    </w:rPr>
                    <w:t>喷塑</w:t>
                  </w:r>
                </w:p>
              </w:tc>
              <w:tc>
                <w:tcPr>
                  <w:tcW w:w="2506" w:type="pct"/>
                  <w:tcBorders>
                    <w:tl2br w:val="nil"/>
                    <w:tr2bl w:val="nil"/>
                  </w:tcBorders>
                  <w:vAlign w:val="center"/>
                </w:tcPr>
                <w:p w14:paraId="5134EB74">
                  <w:pPr>
                    <w:jc w:val="center"/>
                    <w:rPr>
                      <w:color w:val="auto"/>
                    </w:rPr>
                  </w:pPr>
                  <w:r>
                    <w:rPr>
                      <w:rFonts w:hint="eastAsia"/>
                      <w:color w:val="auto"/>
                    </w:rPr>
                    <w:t>颗粒物、VOCs</w:t>
                  </w:r>
                  <w:r>
                    <w:rPr>
                      <w:rFonts w:hint="eastAsia"/>
                      <w:color w:val="auto"/>
                      <w:lang w:eastAsia="zh-CN"/>
                    </w:rPr>
                    <w:t>（</w:t>
                  </w:r>
                  <w:r>
                    <w:rPr>
                      <w:rFonts w:hint="eastAsia"/>
                      <w:color w:val="auto"/>
                    </w:rPr>
                    <w:t>以非甲烷总烃计</w:t>
                  </w:r>
                  <w:r>
                    <w:rPr>
                      <w:rFonts w:hint="eastAsia"/>
                      <w:color w:val="auto"/>
                      <w:lang w:eastAsia="zh-CN"/>
                    </w:rPr>
                    <w:t>）</w:t>
                  </w:r>
                </w:p>
              </w:tc>
            </w:tr>
            <w:tr w14:paraId="7593AB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447" w:type="pct"/>
                  <w:vMerge w:val="continue"/>
                  <w:tcBorders>
                    <w:tl2br w:val="nil"/>
                    <w:tr2bl w:val="nil"/>
                  </w:tcBorders>
                  <w:vAlign w:val="center"/>
                </w:tcPr>
                <w:p w14:paraId="3D17E264">
                  <w:pPr>
                    <w:jc w:val="center"/>
                    <w:rPr>
                      <w:color w:val="auto"/>
                    </w:rPr>
                  </w:pPr>
                </w:p>
              </w:tc>
              <w:tc>
                <w:tcPr>
                  <w:tcW w:w="462" w:type="pct"/>
                  <w:vMerge w:val="continue"/>
                  <w:tcBorders>
                    <w:tl2br w:val="nil"/>
                    <w:tr2bl w:val="nil"/>
                  </w:tcBorders>
                  <w:vAlign w:val="center"/>
                </w:tcPr>
                <w:p w14:paraId="21E97332">
                  <w:pPr>
                    <w:jc w:val="center"/>
                    <w:rPr>
                      <w:color w:val="auto"/>
                    </w:rPr>
                  </w:pPr>
                </w:p>
              </w:tc>
              <w:tc>
                <w:tcPr>
                  <w:tcW w:w="1584" w:type="pct"/>
                  <w:tcBorders>
                    <w:tl2br w:val="nil"/>
                    <w:tr2bl w:val="nil"/>
                  </w:tcBorders>
                  <w:vAlign w:val="center"/>
                </w:tcPr>
                <w:p w14:paraId="1CA63162">
                  <w:pPr>
                    <w:jc w:val="center"/>
                    <w:rPr>
                      <w:color w:val="auto"/>
                    </w:rPr>
                  </w:pPr>
                  <w:r>
                    <w:rPr>
                      <w:rFonts w:hint="eastAsia"/>
                      <w:color w:val="auto"/>
                    </w:rPr>
                    <w:t>胶带、PE带缠绕</w:t>
                  </w:r>
                </w:p>
              </w:tc>
              <w:tc>
                <w:tcPr>
                  <w:tcW w:w="2506" w:type="pct"/>
                  <w:tcBorders>
                    <w:tl2br w:val="nil"/>
                    <w:tr2bl w:val="nil"/>
                  </w:tcBorders>
                  <w:vAlign w:val="center"/>
                </w:tcPr>
                <w:p w14:paraId="5D90DB12">
                  <w:pPr>
                    <w:jc w:val="center"/>
                    <w:rPr>
                      <w:rFonts w:hint="eastAsia" w:eastAsia="宋体"/>
                      <w:color w:val="auto"/>
                      <w:lang w:eastAsia="zh-CN"/>
                    </w:rPr>
                  </w:pPr>
                  <w:r>
                    <w:rPr>
                      <w:rFonts w:hint="eastAsia"/>
                      <w:color w:val="auto"/>
                    </w:rPr>
                    <w:t>VOCs</w:t>
                  </w:r>
                  <w:r>
                    <w:rPr>
                      <w:rFonts w:hint="eastAsia"/>
                      <w:color w:val="auto"/>
                      <w:lang w:eastAsia="zh-CN"/>
                    </w:rPr>
                    <w:t>（</w:t>
                  </w:r>
                  <w:r>
                    <w:rPr>
                      <w:rFonts w:hint="eastAsia"/>
                      <w:color w:val="auto"/>
                    </w:rPr>
                    <w:t>以非甲烷总烃计</w:t>
                  </w:r>
                  <w:r>
                    <w:rPr>
                      <w:rFonts w:hint="eastAsia"/>
                      <w:color w:val="auto"/>
                      <w:lang w:eastAsia="zh-CN"/>
                    </w:rPr>
                    <w:t>）</w:t>
                  </w:r>
                </w:p>
              </w:tc>
            </w:tr>
            <w:tr w14:paraId="4BE7A9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7" w:type="pct"/>
                  <w:vMerge w:val="continue"/>
                  <w:tcBorders>
                    <w:tl2br w:val="nil"/>
                    <w:tr2bl w:val="nil"/>
                  </w:tcBorders>
                  <w:vAlign w:val="center"/>
                </w:tcPr>
                <w:p w14:paraId="6E08570D">
                  <w:pPr>
                    <w:jc w:val="center"/>
                    <w:rPr>
                      <w:color w:val="auto"/>
                    </w:rPr>
                  </w:pPr>
                </w:p>
              </w:tc>
              <w:tc>
                <w:tcPr>
                  <w:tcW w:w="462" w:type="pct"/>
                  <w:tcBorders>
                    <w:tl2br w:val="nil"/>
                    <w:tr2bl w:val="nil"/>
                  </w:tcBorders>
                  <w:vAlign w:val="center"/>
                </w:tcPr>
                <w:p w14:paraId="73F51177">
                  <w:pPr>
                    <w:jc w:val="center"/>
                    <w:rPr>
                      <w:color w:val="auto"/>
                    </w:rPr>
                  </w:pPr>
                  <w:r>
                    <w:rPr>
                      <w:color w:val="auto"/>
                    </w:rPr>
                    <w:t>废水</w:t>
                  </w:r>
                </w:p>
              </w:tc>
              <w:tc>
                <w:tcPr>
                  <w:tcW w:w="1584" w:type="pct"/>
                  <w:tcBorders>
                    <w:tl2br w:val="nil"/>
                    <w:tr2bl w:val="nil"/>
                  </w:tcBorders>
                  <w:vAlign w:val="center"/>
                </w:tcPr>
                <w:p w14:paraId="627FBB3B">
                  <w:pPr>
                    <w:jc w:val="center"/>
                    <w:rPr>
                      <w:color w:val="auto"/>
                    </w:rPr>
                  </w:pPr>
                  <w:r>
                    <w:rPr>
                      <w:color w:val="auto"/>
                    </w:rPr>
                    <w:t>生活污水</w:t>
                  </w:r>
                </w:p>
              </w:tc>
              <w:tc>
                <w:tcPr>
                  <w:tcW w:w="2506" w:type="pct"/>
                  <w:tcBorders>
                    <w:tl2br w:val="nil"/>
                    <w:tr2bl w:val="nil"/>
                  </w:tcBorders>
                  <w:vAlign w:val="center"/>
                </w:tcPr>
                <w:p w14:paraId="2DCC2413">
                  <w:pPr>
                    <w:jc w:val="center"/>
                    <w:rPr>
                      <w:color w:val="auto"/>
                    </w:rPr>
                  </w:pPr>
                  <w:r>
                    <w:rPr>
                      <w:rFonts w:hint="eastAsia"/>
                      <w:color w:val="auto"/>
                      <w:lang w:val="en-US" w:eastAsia="zh-CN"/>
                    </w:rPr>
                    <w:t>pH、</w:t>
                  </w:r>
                  <w:r>
                    <w:rPr>
                      <w:color w:val="auto"/>
                    </w:rPr>
                    <w:t>CODcr、BOD</w:t>
                  </w:r>
                  <w:r>
                    <w:rPr>
                      <w:color w:val="auto"/>
                      <w:vertAlign w:val="subscript"/>
                    </w:rPr>
                    <w:t>5</w:t>
                  </w:r>
                  <w:r>
                    <w:rPr>
                      <w:color w:val="auto"/>
                    </w:rPr>
                    <w:t>、SS、NH</w:t>
                  </w:r>
                  <w:r>
                    <w:rPr>
                      <w:color w:val="auto"/>
                      <w:vertAlign w:val="subscript"/>
                    </w:rPr>
                    <w:t>3</w:t>
                  </w:r>
                  <w:r>
                    <w:rPr>
                      <w:color w:val="auto"/>
                    </w:rPr>
                    <w:t>-N</w:t>
                  </w:r>
                  <w:r>
                    <w:rPr>
                      <w:rFonts w:hint="eastAsia"/>
                      <w:color w:val="auto"/>
                      <w:lang w:eastAsia="zh-CN"/>
                    </w:rPr>
                    <w:t>、</w:t>
                  </w:r>
                  <w:r>
                    <w:rPr>
                      <w:rFonts w:hint="eastAsia"/>
                      <w:color w:val="auto"/>
                      <w:lang w:val="en-US" w:eastAsia="zh-CN"/>
                    </w:rPr>
                    <w:t>TP、动植物油</w:t>
                  </w:r>
                  <w:r>
                    <w:rPr>
                      <w:color w:val="auto"/>
                    </w:rPr>
                    <w:t>等</w:t>
                  </w:r>
                </w:p>
              </w:tc>
            </w:tr>
            <w:tr w14:paraId="16DC39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7" w:type="pct"/>
                  <w:vMerge w:val="continue"/>
                  <w:tcBorders>
                    <w:tl2br w:val="nil"/>
                    <w:tr2bl w:val="nil"/>
                  </w:tcBorders>
                  <w:vAlign w:val="center"/>
                </w:tcPr>
                <w:p w14:paraId="05FFF416">
                  <w:pPr>
                    <w:jc w:val="center"/>
                    <w:rPr>
                      <w:color w:val="auto"/>
                    </w:rPr>
                  </w:pPr>
                </w:p>
              </w:tc>
              <w:tc>
                <w:tcPr>
                  <w:tcW w:w="462" w:type="pct"/>
                  <w:tcBorders>
                    <w:tl2br w:val="nil"/>
                    <w:tr2bl w:val="nil"/>
                  </w:tcBorders>
                  <w:vAlign w:val="center"/>
                </w:tcPr>
                <w:p w14:paraId="77A03A6B">
                  <w:pPr>
                    <w:jc w:val="center"/>
                    <w:rPr>
                      <w:color w:val="auto"/>
                    </w:rPr>
                  </w:pPr>
                  <w:r>
                    <w:rPr>
                      <w:color w:val="auto"/>
                    </w:rPr>
                    <w:t>噪声</w:t>
                  </w:r>
                </w:p>
              </w:tc>
              <w:tc>
                <w:tcPr>
                  <w:tcW w:w="1584" w:type="pct"/>
                  <w:tcBorders>
                    <w:tl2br w:val="nil"/>
                    <w:tr2bl w:val="nil"/>
                  </w:tcBorders>
                  <w:vAlign w:val="center"/>
                </w:tcPr>
                <w:p w14:paraId="71979969">
                  <w:pPr>
                    <w:jc w:val="center"/>
                    <w:rPr>
                      <w:color w:val="auto"/>
                    </w:rPr>
                  </w:pPr>
                  <w:r>
                    <w:rPr>
                      <w:color w:val="auto"/>
                    </w:rPr>
                    <w:t>生产</w:t>
                  </w:r>
                  <w:r>
                    <w:rPr>
                      <w:rFonts w:hint="eastAsia"/>
                      <w:color w:val="auto"/>
                      <w:lang w:eastAsia="zh-CN"/>
                    </w:rPr>
                    <w:t>、</w:t>
                  </w:r>
                  <w:r>
                    <w:rPr>
                      <w:rFonts w:hint="eastAsia"/>
                      <w:color w:val="auto"/>
                    </w:rPr>
                    <w:t>辅助及环保设备</w:t>
                  </w:r>
                </w:p>
              </w:tc>
              <w:tc>
                <w:tcPr>
                  <w:tcW w:w="2506" w:type="pct"/>
                  <w:tcBorders>
                    <w:tl2br w:val="nil"/>
                    <w:tr2bl w:val="nil"/>
                  </w:tcBorders>
                  <w:vAlign w:val="center"/>
                </w:tcPr>
                <w:p w14:paraId="2C2AC9A3">
                  <w:pPr>
                    <w:jc w:val="center"/>
                    <w:rPr>
                      <w:color w:val="auto"/>
                    </w:rPr>
                  </w:pPr>
                  <w:r>
                    <w:rPr>
                      <w:color w:val="auto"/>
                    </w:rPr>
                    <w:t>等效</w:t>
                  </w:r>
                  <w:r>
                    <w:rPr>
                      <w:rFonts w:hint="eastAsia"/>
                      <w:color w:val="auto"/>
                    </w:rPr>
                    <w:t>连续</w:t>
                  </w:r>
                  <w:r>
                    <w:rPr>
                      <w:color w:val="auto"/>
                    </w:rPr>
                    <w:t>A声级</w:t>
                  </w:r>
                </w:p>
              </w:tc>
            </w:tr>
            <w:tr w14:paraId="0D4B5C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0072FE20">
                  <w:pPr>
                    <w:jc w:val="center"/>
                    <w:rPr>
                      <w:color w:val="auto"/>
                    </w:rPr>
                  </w:pPr>
                </w:p>
              </w:tc>
              <w:tc>
                <w:tcPr>
                  <w:tcW w:w="462" w:type="pct"/>
                  <w:vMerge w:val="restart"/>
                  <w:tcBorders>
                    <w:tl2br w:val="nil"/>
                    <w:tr2bl w:val="nil"/>
                  </w:tcBorders>
                  <w:vAlign w:val="center"/>
                </w:tcPr>
                <w:p w14:paraId="1EF4BCFD">
                  <w:pPr>
                    <w:jc w:val="center"/>
                    <w:rPr>
                      <w:color w:val="auto"/>
                    </w:rPr>
                  </w:pPr>
                  <w:r>
                    <w:rPr>
                      <w:color w:val="auto"/>
                    </w:rPr>
                    <w:t>固废</w:t>
                  </w:r>
                </w:p>
              </w:tc>
              <w:tc>
                <w:tcPr>
                  <w:tcW w:w="1584" w:type="pct"/>
                  <w:tcBorders>
                    <w:tl2br w:val="nil"/>
                    <w:tr2bl w:val="nil"/>
                  </w:tcBorders>
                  <w:vAlign w:val="center"/>
                </w:tcPr>
                <w:p w14:paraId="68F2AA7F">
                  <w:pPr>
                    <w:jc w:val="center"/>
                    <w:rPr>
                      <w:rFonts w:hint="eastAsia" w:eastAsia="宋体"/>
                      <w:color w:val="auto"/>
                      <w:lang w:eastAsia="zh-CN"/>
                    </w:rPr>
                  </w:pPr>
                  <w:r>
                    <w:rPr>
                      <w:rFonts w:hint="eastAsia"/>
                      <w:color w:val="auto"/>
                      <w:lang w:eastAsia="zh-CN"/>
                    </w:rPr>
                    <w:t>生活垃圾</w:t>
                  </w:r>
                </w:p>
              </w:tc>
              <w:tc>
                <w:tcPr>
                  <w:tcW w:w="2506" w:type="pct"/>
                  <w:tcBorders>
                    <w:tl2br w:val="nil"/>
                    <w:tr2bl w:val="nil"/>
                  </w:tcBorders>
                  <w:vAlign w:val="center"/>
                </w:tcPr>
                <w:p w14:paraId="2EE9CFAC">
                  <w:pPr>
                    <w:jc w:val="center"/>
                    <w:rPr>
                      <w:rFonts w:hint="eastAsia" w:eastAsia="宋体"/>
                      <w:color w:val="auto"/>
                      <w:lang w:eastAsia="zh-CN"/>
                    </w:rPr>
                  </w:pPr>
                  <w:r>
                    <w:rPr>
                      <w:rFonts w:hint="eastAsia"/>
                      <w:color w:val="auto"/>
                      <w:lang w:eastAsia="zh-CN"/>
                    </w:rPr>
                    <w:t>生活垃圾</w:t>
                  </w:r>
                </w:p>
              </w:tc>
            </w:tr>
            <w:tr w14:paraId="043B5C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6EACA935">
                  <w:pPr>
                    <w:jc w:val="center"/>
                    <w:rPr>
                      <w:color w:val="auto"/>
                    </w:rPr>
                  </w:pPr>
                </w:p>
              </w:tc>
              <w:tc>
                <w:tcPr>
                  <w:tcW w:w="462" w:type="pct"/>
                  <w:vMerge w:val="continue"/>
                  <w:tcBorders>
                    <w:tl2br w:val="nil"/>
                    <w:tr2bl w:val="nil"/>
                  </w:tcBorders>
                  <w:vAlign w:val="center"/>
                </w:tcPr>
                <w:p w14:paraId="00277338">
                  <w:pPr>
                    <w:jc w:val="center"/>
                    <w:rPr>
                      <w:color w:val="auto"/>
                    </w:rPr>
                  </w:pPr>
                </w:p>
              </w:tc>
              <w:tc>
                <w:tcPr>
                  <w:tcW w:w="1584" w:type="pct"/>
                  <w:vMerge w:val="restart"/>
                  <w:tcBorders>
                    <w:tl2br w:val="nil"/>
                    <w:tr2bl w:val="nil"/>
                  </w:tcBorders>
                  <w:vAlign w:val="center"/>
                </w:tcPr>
                <w:p w14:paraId="0FA35D8A">
                  <w:pPr>
                    <w:jc w:val="center"/>
                    <w:rPr>
                      <w:rFonts w:hint="eastAsia" w:eastAsia="宋体"/>
                      <w:color w:val="auto"/>
                      <w:lang w:eastAsia="zh-CN"/>
                    </w:rPr>
                  </w:pPr>
                  <w:r>
                    <w:rPr>
                      <w:rFonts w:hint="eastAsia"/>
                      <w:color w:val="auto"/>
                      <w:lang w:eastAsia="zh-CN"/>
                    </w:rPr>
                    <w:t>一般工业固废</w:t>
                  </w:r>
                </w:p>
              </w:tc>
              <w:tc>
                <w:tcPr>
                  <w:tcW w:w="2506" w:type="pct"/>
                  <w:tcBorders>
                    <w:tl2br w:val="nil"/>
                    <w:tr2bl w:val="nil"/>
                  </w:tcBorders>
                  <w:vAlign w:val="center"/>
                </w:tcPr>
                <w:p w14:paraId="04FDD37C">
                  <w:pPr>
                    <w:jc w:val="center"/>
                    <w:rPr>
                      <w:color w:val="auto"/>
                    </w:rPr>
                  </w:pPr>
                  <w:r>
                    <w:rPr>
                      <w:rFonts w:hint="eastAsia"/>
                      <w:color w:val="auto"/>
                    </w:rPr>
                    <w:t>废边角料</w:t>
                  </w:r>
                </w:p>
              </w:tc>
            </w:tr>
            <w:tr w14:paraId="2A8BB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2DB3E665">
                  <w:pPr>
                    <w:jc w:val="center"/>
                    <w:rPr>
                      <w:color w:val="auto"/>
                    </w:rPr>
                  </w:pPr>
                </w:p>
              </w:tc>
              <w:tc>
                <w:tcPr>
                  <w:tcW w:w="462" w:type="pct"/>
                  <w:vMerge w:val="continue"/>
                  <w:tcBorders>
                    <w:tl2br w:val="nil"/>
                    <w:tr2bl w:val="nil"/>
                  </w:tcBorders>
                  <w:vAlign w:val="center"/>
                </w:tcPr>
                <w:p w14:paraId="002C725D">
                  <w:pPr>
                    <w:jc w:val="center"/>
                    <w:rPr>
                      <w:color w:val="auto"/>
                    </w:rPr>
                  </w:pPr>
                </w:p>
              </w:tc>
              <w:tc>
                <w:tcPr>
                  <w:tcW w:w="1584" w:type="pct"/>
                  <w:vMerge w:val="continue"/>
                  <w:tcBorders>
                    <w:tl2br w:val="nil"/>
                    <w:tr2bl w:val="nil"/>
                  </w:tcBorders>
                  <w:vAlign w:val="center"/>
                </w:tcPr>
                <w:p w14:paraId="4EE5497D">
                  <w:pPr>
                    <w:jc w:val="center"/>
                    <w:rPr>
                      <w:color w:val="auto"/>
                    </w:rPr>
                  </w:pPr>
                </w:p>
              </w:tc>
              <w:tc>
                <w:tcPr>
                  <w:tcW w:w="2506" w:type="pct"/>
                  <w:tcBorders>
                    <w:tl2br w:val="nil"/>
                    <w:tr2bl w:val="nil"/>
                  </w:tcBorders>
                  <w:vAlign w:val="center"/>
                </w:tcPr>
                <w:p w14:paraId="0E44847E">
                  <w:pPr>
                    <w:jc w:val="center"/>
                    <w:rPr>
                      <w:color w:val="auto"/>
                    </w:rPr>
                  </w:pPr>
                  <w:r>
                    <w:rPr>
                      <w:rFonts w:hint="eastAsia"/>
                      <w:color w:val="auto"/>
                    </w:rPr>
                    <w:t>焊渣</w:t>
                  </w:r>
                </w:p>
              </w:tc>
            </w:tr>
            <w:tr w14:paraId="435A61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407012B0">
                  <w:pPr>
                    <w:jc w:val="center"/>
                    <w:rPr>
                      <w:color w:val="auto"/>
                    </w:rPr>
                  </w:pPr>
                </w:p>
              </w:tc>
              <w:tc>
                <w:tcPr>
                  <w:tcW w:w="462" w:type="pct"/>
                  <w:vMerge w:val="continue"/>
                  <w:tcBorders>
                    <w:tl2br w:val="nil"/>
                    <w:tr2bl w:val="nil"/>
                  </w:tcBorders>
                  <w:vAlign w:val="center"/>
                </w:tcPr>
                <w:p w14:paraId="1E5BD158">
                  <w:pPr>
                    <w:jc w:val="center"/>
                    <w:rPr>
                      <w:color w:val="auto"/>
                    </w:rPr>
                  </w:pPr>
                </w:p>
              </w:tc>
              <w:tc>
                <w:tcPr>
                  <w:tcW w:w="1584" w:type="pct"/>
                  <w:vMerge w:val="continue"/>
                  <w:tcBorders>
                    <w:tl2br w:val="nil"/>
                    <w:tr2bl w:val="nil"/>
                  </w:tcBorders>
                  <w:vAlign w:val="center"/>
                </w:tcPr>
                <w:p w14:paraId="70581A53">
                  <w:pPr>
                    <w:jc w:val="center"/>
                    <w:rPr>
                      <w:color w:val="auto"/>
                    </w:rPr>
                  </w:pPr>
                </w:p>
              </w:tc>
              <w:tc>
                <w:tcPr>
                  <w:tcW w:w="2506" w:type="pct"/>
                  <w:tcBorders>
                    <w:tl2br w:val="nil"/>
                    <w:tr2bl w:val="nil"/>
                  </w:tcBorders>
                  <w:vAlign w:val="center"/>
                </w:tcPr>
                <w:p w14:paraId="13397932">
                  <w:pPr>
                    <w:jc w:val="center"/>
                    <w:rPr>
                      <w:rFonts w:hint="eastAsia"/>
                      <w:color w:val="auto"/>
                    </w:rPr>
                  </w:pPr>
                  <w:r>
                    <w:rPr>
                      <w:rFonts w:hint="eastAsia"/>
                      <w:color w:val="auto"/>
                    </w:rPr>
                    <w:t>废钢丸</w:t>
                  </w:r>
                </w:p>
              </w:tc>
            </w:tr>
            <w:tr w14:paraId="724BD5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39A7BAD4">
                  <w:pPr>
                    <w:jc w:val="center"/>
                    <w:rPr>
                      <w:color w:val="auto"/>
                    </w:rPr>
                  </w:pPr>
                </w:p>
              </w:tc>
              <w:tc>
                <w:tcPr>
                  <w:tcW w:w="462" w:type="pct"/>
                  <w:vMerge w:val="continue"/>
                  <w:tcBorders>
                    <w:tl2br w:val="nil"/>
                    <w:tr2bl w:val="nil"/>
                  </w:tcBorders>
                  <w:vAlign w:val="center"/>
                </w:tcPr>
                <w:p w14:paraId="51636FFF">
                  <w:pPr>
                    <w:jc w:val="center"/>
                    <w:rPr>
                      <w:color w:val="auto"/>
                    </w:rPr>
                  </w:pPr>
                </w:p>
              </w:tc>
              <w:tc>
                <w:tcPr>
                  <w:tcW w:w="1584" w:type="pct"/>
                  <w:vMerge w:val="continue"/>
                  <w:tcBorders>
                    <w:tl2br w:val="nil"/>
                    <w:tr2bl w:val="nil"/>
                  </w:tcBorders>
                  <w:vAlign w:val="center"/>
                </w:tcPr>
                <w:p w14:paraId="515E5230">
                  <w:pPr>
                    <w:jc w:val="center"/>
                    <w:rPr>
                      <w:color w:val="auto"/>
                    </w:rPr>
                  </w:pPr>
                </w:p>
              </w:tc>
              <w:tc>
                <w:tcPr>
                  <w:tcW w:w="2506" w:type="pct"/>
                  <w:tcBorders>
                    <w:tl2br w:val="nil"/>
                    <w:tr2bl w:val="nil"/>
                  </w:tcBorders>
                  <w:vAlign w:val="center"/>
                </w:tcPr>
                <w:p w14:paraId="7CF13EFE">
                  <w:pPr>
                    <w:jc w:val="center"/>
                    <w:rPr>
                      <w:rFonts w:hint="eastAsia" w:eastAsia="宋体"/>
                      <w:color w:val="auto"/>
                      <w:lang w:eastAsia="zh-CN"/>
                    </w:rPr>
                  </w:pPr>
                  <w:r>
                    <w:rPr>
                      <w:rFonts w:hint="eastAsia"/>
                      <w:color w:val="auto"/>
                    </w:rPr>
                    <w:t>布袋除尘器收集的抛丸粉</w:t>
                  </w:r>
                  <w:r>
                    <w:rPr>
                      <w:rFonts w:hint="eastAsia"/>
                      <w:color w:val="auto"/>
                      <w:lang w:eastAsia="zh-CN"/>
                    </w:rPr>
                    <w:t>尘</w:t>
                  </w:r>
                </w:p>
              </w:tc>
            </w:tr>
            <w:tr w14:paraId="465B70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097A8050">
                  <w:pPr>
                    <w:jc w:val="center"/>
                    <w:rPr>
                      <w:color w:val="auto"/>
                    </w:rPr>
                  </w:pPr>
                </w:p>
              </w:tc>
              <w:tc>
                <w:tcPr>
                  <w:tcW w:w="462" w:type="pct"/>
                  <w:vMerge w:val="continue"/>
                  <w:tcBorders>
                    <w:tl2br w:val="nil"/>
                    <w:tr2bl w:val="nil"/>
                  </w:tcBorders>
                  <w:vAlign w:val="center"/>
                </w:tcPr>
                <w:p w14:paraId="23BD2483">
                  <w:pPr>
                    <w:jc w:val="center"/>
                    <w:rPr>
                      <w:color w:val="auto"/>
                    </w:rPr>
                  </w:pPr>
                </w:p>
              </w:tc>
              <w:tc>
                <w:tcPr>
                  <w:tcW w:w="1584" w:type="pct"/>
                  <w:vMerge w:val="continue"/>
                  <w:tcBorders>
                    <w:tl2br w:val="nil"/>
                    <w:tr2bl w:val="nil"/>
                  </w:tcBorders>
                  <w:vAlign w:val="center"/>
                </w:tcPr>
                <w:p w14:paraId="614F455D">
                  <w:pPr>
                    <w:jc w:val="center"/>
                    <w:rPr>
                      <w:color w:val="auto"/>
                    </w:rPr>
                  </w:pPr>
                </w:p>
              </w:tc>
              <w:tc>
                <w:tcPr>
                  <w:tcW w:w="2506" w:type="pct"/>
                  <w:tcBorders>
                    <w:tl2br w:val="nil"/>
                    <w:tr2bl w:val="nil"/>
                  </w:tcBorders>
                  <w:vAlign w:val="center"/>
                </w:tcPr>
                <w:p w14:paraId="4F9700B0">
                  <w:pPr>
                    <w:jc w:val="center"/>
                    <w:rPr>
                      <w:rFonts w:hint="eastAsia"/>
                      <w:color w:val="auto"/>
                    </w:rPr>
                  </w:pPr>
                  <w:r>
                    <w:rPr>
                      <w:rFonts w:hint="eastAsia"/>
                      <w:color w:val="auto"/>
                    </w:rPr>
                    <w:t>布袋除尘器收集的喷塑粉</w:t>
                  </w:r>
                  <w:r>
                    <w:rPr>
                      <w:rFonts w:hint="eastAsia"/>
                      <w:color w:val="auto"/>
                      <w:lang w:eastAsia="zh-CN"/>
                    </w:rPr>
                    <w:t>尘</w:t>
                  </w:r>
                </w:p>
              </w:tc>
            </w:tr>
            <w:tr w14:paraId="53AB04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767349E1">
                  <w:pPr>
                    <w:jc w:val="center"/>
                    <w:rPr>
                      <w:color w:val="auto"/>
                    </w:rPr>
                  </w:pPr>
                </w:p>
              </w:tc>
              <w:tc>
                <w:tcPr>
                  <w:tcW w:w="462" w:type="pct"/>
                  <w:vMerge w:val="continue"/>
                  <w:tcBorders>
                    <w:tl2br w:val="nil"/>
                    <w:tr2bl w:val="nil"/>
                  </w:tcBorders>
                  <w:vAlign w:val="center"/>
                </w:tcPr>
                <w:p w14:paraId="7C43A276">
                  <w:pPr>
                    <w:jc w:val="center"/>
                    <w:rPr>
                      <w:color w:val="auto"/>
                    </w:rPr>
                  </w:pPr>
                </w:p>
              </w:tc>
              <w:tc>
                <w:tcPr>
                  <w:tcW w:w="1584" w:type="pct"/>
                  <w:vMerge w:val="continue"/>
                  <w:tcBorders>
                    <w:tl2br w:val="nil"/>
                    <w:tr2bl w:val="nil"/>
                  </w:tcBorders>
                  <w:vAlign w:val="center"/>
                </w:tcPr>
                <w:p w14:paraId="40F1856A">
                  <w:pPr>
                    <w:jc w:val="center"/>
                    <w:rPr>
                      <w:color w:val="auto"/>
                    </w:rPr>
                  </w:pPr>
                </w:p>
              </w:tc>
              <w:tc>
                <w:tcPr>
                  <w:tcW w:w="2506" w:type="pct"/>
                  <w:tcBorders>
                    <w:tl2br w:val="nil"/>
                    <w:tr2bl w:val="nil"/>
                  </w:tcBorders>
                  <w:vAlign w:val="center"/>
                </w:tcPr>
                <w:p w14:paraId="4EE636C3">
                  <w:pPr>
                    <w:jc w:val="center"/>
                    <w:rPr>
                      <w:rFonts w:hint="eastAsia"/>
                      <w:color w:val="auto"/>
                    </w:rPr>
                  </w:pPr>
                  <w:r>
                    <w:rPr>
                      <w:rFonts w:hint="eastAsia"/>
                      <w:color w:val="auto"/>
                    </w:rPr>
                    <w:t>收集的金属粉尘</w:t>
                  </w:r>
                </w:p>
              </w:tc>
            </w:tr>
            <w:tr w14:paraId="516F13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6AE0F09C">
                  <w:pPr>
                    <w:jc w:val="center"/>
                    <w:rPr>
                      <w:color w:val="auto"/>
                    </w:rPr>
                  </w:pPr>
                </w:p>
              </w:tc>
              <w:tc>
                <w:tcPr>
                  <w:tcW w:w="462" w:type="pct"/>
                  <w:vMerge w:val="continue"/>
                  <w:tcBorders>
                    <w:tl2br w:val="nil"/>
                    <w:tr2bl w:val="nil"/>
                  </w:tcBorders>
                  <w:vAlign w:val="center"/>
                </w:tcPr>
                <w:p w14:paraId="5FE6D3E5">
                  <w:pPr>
                    <w:jc w:val="center"/>
                    <w:rPr>
                      <w:color w:val="auto"/>
                    </w:rPr>
                  </w:pPr>
                </w:p>
              </w:tc>
              <w:tc>
                <w:tcPr>
                  <w:tcW w:w="1584" w:type="pct"/>
                  <w:vMerge w:val="continue"/>
                  <w:tcBorders>
                    <w:tl2br w:val="nil"/>
                    <w:tr2bl w:val="nil"/>
                  </w:tcBorders>
                  <w:vAlign w:val="center"/>
                </w:tcPr>
                <w:p w14:paraId="2FD28E8D">
                  <w:pPr>
                    <w:jc w:val="center"/>
                    <w:rPr>
                      <w:color w:val="auto"/>
                    </w:rPr>
                  </w:pPr>
                </w:p>
              </w:tc>
              <w:tc>
                <w:tcPr>
                  <w:tcW w:w="2506" w:type="pct"/>
                  <w:tcBorders>
                    <w:tl2br w:val="nil"/>
                    <w:tr2bl w:val="nil"/>
                  </w:tcBorders>
                  <w:vAlign w:val="center"/>
                </w:tcPr>
                <w:p w14:paraId="72BD257A">
                  <w:pPr>
                    <w:jc w:val="center"/>
                    <w:rPr>
                      <w:rFonts w:hint="eastAsia"/>
                      <w:color w:val="auto"/>
                    </w:rPr>
                  </w:pPr>
                  <w:r>
                    <w:rPr>
                      <w:rFonts w:hint="eastAsia"/>
                      <w:color w:val="auto"/>
                    </w:rPr>
                    <w:t>废布袋</w:t>
                  </w:r>
                </w:p>
              </w:tc>
            </w:tr>
            <w:tr w14:paraId="1814D7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647D0929">
                  <w:pPr>
                    <w:jc w:val="center"/>
                    <w:rPr>
                      <w:color w:val="auto"/>
                    </w:rPr>
                  </w:pPr>
                </w:p>
              </w:tc>
              <w:tc>
                <w:tcPr>
                  <w:tcW w:w="462" w:type="pct"/>
                  <w:vMerge w:val="continue"/>
                  <w:tcBorders>
                    <w:tl2br w:val="nil"/>
                    <w:tr2bl w:val="nil"/>
                  </w:tcBorders>
                  <w:vAlign w:val="center"/>
                </w:tcPr>
                <w:p w14:paraId="46AE141F">
                  <w:pPr>
                    <w:jc w:val="center"/>
                    <w:rPr>
                      <w:color w:val="auto"/>
                    </w:rPr>
                  </w:pPr>
                </w:p>
              </w:tc>
              <w:tc>
                <w:tcPr>
                  <w:tcW w:w="1584" w:type="pct"/>
                  <w:vMerge w:val="continue"/>
                  <w:tcBorders>
                    <w:tl2br w:val="nil"/>
                    <w:tr2bl w:val="nil"/>
                  </w:tcBorders>
                  <w:vAlign w:val="center"/>
                </w:tcPr>
                <w:p w14:paraId="3D120A56">
                  <w:pPr>
                    <w:jc w:val="center"/>
                    <w:rPr>
                      <w:color w:val="auto"/>
                    </w:rPr>
                  </w:pPr>
                </w:p>
              </w:tc>
              <w:tc>
                <w:tcPr>
                  <w:tcW w:w="2506" w:type="pct"/>
                  <w:tcBorders>
                    <w:tl2br w:val="nil"/>
                    <w:tr2bl w:val="nil"/>
                  </w:tcBorders>
                  <w:vAlign w:val="center"/>
                </w:tcPr>
                <w:p w14:paraId="1C8ECFAC">
                  <w:pPr>
                    <w:jc w:val="center"/>
                    <w:rPr>
                      <w:rFonts w:hint="eastAsia"/>
                      <w:color w:val="auto"/>
                    </w:rPr>
                  </w:pPr>
                  <w:r>
                    <w:rPr>
                      <w:rFonts w:hint="eastAsia"/>
                      <w:color w:val="auto"/>
                    </w:rPr>
                    <w:t>废一般包装材料</w:t>
                  </w:r>
                </w:p>
              </w:tc>
            </w:tr>
            <w:tr w14:paraId="2DFBAC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6D5CC97E">
                  <w:pPr>
                    <w:jc w:val="center"/>
                    <w:rPr>
                      <w:color w:val="auto"/>
                    </w:rPr>
                  </w:pPr>
                </w:p>
              </w:tc>
              <w:tc>
                <w:tcPr>
                  <w:tcW w:w="462" w:type="pct"/>
                  <w:vMerge w:val="continue"/>
                  <w:tcBorders>
                    <w:tl2br w:val="nil"/>
                    <w:tr2bl w:val="nil"/>
                  </w:tcBorders>
                  <w:vAlign w:val="center"/>
                </w:tcPr>
                <w:p w14:paraId="4B2A6978">
                  <w:pPr>
                    <w:jc w:val="center"/>
                    <w:rPr>
                      <w:color w:val="auto"/>
                    </w:rPr>
                  </w:pPr>
                </w:p>
              </w:tc>
              <w:tc>
                <w:tcPr>
                  <w:tcW w:w="1584" w:type="pct"/>
                  <w:vMerge w:val="continue"/>
                  <w:tcBorders>
                    <w:tl2br w:val="nil"/>
                    <w:tr2bl w:val="nil"/>
                  </w:tcBorders>
                  <w:vAlign w:val="center"/>
                </w:tcPr>
                <w:p w14:paraId="5FD42965">
                  <w:pPr>
                    <w:jc w:val="center"/>
                    <w:rPr>
                      <w:color w:val="auto"/>
                    </w:rPr>
                  </w:pPr>
                </w:p>
              </w:tc>
              <w:tc>
                <w:tcPr>
                  <w:tcW w:w="2506" w:type="pct"/>
                  <w:tcBorders>
                    <w:tl2br w:val="nil"/>
                    <w:tr2bl w:val="nil"/>
                  </w:tcBorders>
                  <w:vAlign w:val="center"/>
                </w:tcPr>
                <w:p w14:paraId="285A61F8">
                  <w:pPr>
                    <w:jc w:val="center"/>
                    <w:rPr>
                      <w:rFonts w:hint="eastAsia"/>
                      <w:color w:val="auto"/>
                    </w:rPr>
                  </w:pPr>
                  <w:r>
                    <w:rPr>
                      <w:rFonts w:hint="eastAsia"/>
                      <w:color w:val="auto"/>
                    </w:rPr>
                    <w:t>沉渣</w:t>
                  </w:r>
                </w:p>
              </w:tc>
            </w:tr>
            <w:tr w14:paraId="342AE6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035F2D29">
                  <w:pPr>
                    <w:jc w:val="center"/>
                    <w:rPr>
                      <w:color w:val="auto"/>
                    </w:rPr>
                  </w:pPr>
                </w:p>
              </w:tc>
              <w:tc>
                <w:tcPr>
                  <w:tcW w:w="462" w:type="pct"/>
                  <w:vMerge w:val="continue"/>
                  <w:tcBorders>
                    <w:tl2br w:val="nil"/>
                    <w:tr2bl w:val="nil"/>
                  </w:tcBorders>
                  <w:vAlign w:val="center"/>
                </w:tcPr>
                <w:p w14:paraId="2CE4A42F">
                  <w:pPr>
                    <w:jc w:val="center"/>
                    <w:rPr>
                      <w:color w:val="auto"/>
                    </w:rPr>
                  </w:pPr>
                </w:p>
              </w:tc>
              <w:tc>
                <w:tcPr>
                  <w:tcW w:w="1584" w:type="pct"/>
                  <w:vMerge w:val="restart"/>
                  <w:tcBorders>
                    <w:tl2br w:val="nil"/>
                    <w:tr2bl w:val="nil"/>
                  </w:tcBorders>
                  <w:vAlign w:val="center"/>
                </w:tcPr>
                <w:p w14:paraId="6ACBCD43">
                  <w:pPr>
                    <w:jc w:val="center"/>
                    <w:rPr>
                      <w:rFonts w:hint="eastAsia" w:eastAsia="宋体"/>
                      <w:color w:val="auto"/>
                      <w:lang w:eastAsia="zh-CN"/>
                    </w:rPr>
                  </w:pPr>
                  <w:r>
                    <w:rPr>
                      <w:rFonts w:hint="eastAsia"/>
                      <w:color w:val="auto"/>
                      <w:lang w:eastAsia="zh-CN"/>
                    </w:rPr>
                    <w:t>危险废物</w:t>
                  </w:r>
                </w:p>
              </w:tc>
              <w:tc>
                <w:tcPr>
                  <w:tcW w:w="2506" w:type="pct"/>
                  <w:tcBorders>
                    <w:tl2br w:val="nil"/>
                    <w:tr2bl w:val="nil"/>
                  </w:tcBorders>
                  <w:vAlign w:val="center"/>
                </w:tcPr>
                <w:p w14:paraId="38836AD5">
                  <w:pPr>
                    <w:jc w:val="center"/>
                    <w:rPr>
                      <w:rFonts w:hint="eastAsia"/>
                      <w:color w:val="auto"/>
                    </w:rPr>
                  </w:pPr>
                  <w:r>
                    <w:rPr>
                      <w:rFonts w:hint="eastAsia"/>
                      <w:color w:val="auto"/>
                    </w:rPr>
                    <w:t>废活性炭</w:t>
                  </w:r>
                </w:p>
              </w:tc>
            </w:tr>
            <w:tr w14:paraId="74CAD6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4705BB67">
                  <w:pPr>
                    <w:jc w:val="center"/>
                    <w:rPr>
                      <w:color w:val="auto"/>
                    </w:rPr>
                  </w:pPr>
                </w:p>
              </w:tc>
              <w:tc>
                <w:tcPr>
                  <w:tcW w:w="462" w:type="pct"/>
                  <w:vMerge w:val="continue"/>
                  <w:tcBorders>
                    <w:tl2br w:val="nil"/>
                    <w:tr2bl w:val="nil"/>
                  </w:tcBorders>
                  <w:vAlign w:val="center"/>
                </w:tcPr>
                <w:p w14:paraId="5263F7A1">
                  <w:pPr>
                    <w:jc w:val="center"/>
                    <w:rPr>
                      <w:color w:val="auto"/>
                    </w:rPr>
                  </w:pPr>
                </w:p>
              </w:tc>
              <w:tc>
                <w:tcPr>
                  <w:tcW w:w="1584" w:type="pct"/>
                  <w:vMerge w:val="continue"/>
                  <w:tcBorders>
                    <w:tl2br w:val="nil"/>
                    <w:tr2bl w:val="nil"/>
                  </w:tcBorders>
                  <w:vAlign w:val="center"/>
                </w:tcPr>
                <w:p w14:paraId="5D1AA79C">
                  <w:pPr>
                    <w:jc w:val="center"/>
                    <w:rPr>
                      <w:color w:val="auto"/>
                    </w:rPr>
                  </w:pPr>
                </w:p>
              </w:tc>
              <w:tc>
                <w:tcPr>
                  <w:tcW w:w="2506" w:type="pct"/>
                  <w:tcBorders>
                    <w:tl2br w:val="nil"/>
                    <w:tr2bl w:val="nil"/>
                  </w:tcBorders>
                  <w:vAlign w:val="center"/>
                </w:tcPr>
                <w:p w14:paraId="2A7F49A5">
                  <w:pPr>
                    <w:jc w:val="center"/>
                    <w:rPr>
                      <w:rFonts w:hint="eastAsia"/>
                      <w:color w:val="auto"/>
                    </w:rPr>
                  </w:pPr>
                  <w:r>
                    <w:rPr>
                      <w:rFonts w:hint="eastAsia"/>
                      <w:color w:val="auto"/>
                    </w:rPr>
                    <w:t>废润滑油</w:t>
                  </w:r>
                </w:p>
              </w:tc>
            </w:tr>
            <w:tr w14:paraId="30479E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5A7765F6">
                  <w:pPr>
                    <w:jc w:val="center"/>
                    <w:rPr>
                      <w:color w:val="auto"/>
                    </w:rPr>
                  </w:pPr>
                </w:p>
              </w:tc>
              <w:tc>
                <w:tcPr>
                  <w:tcW w:w="462" w:type="pct"/>
                  <w:vMerge w:val="continue"/>
                  <w:tcBorders>
                    <w:tl2br w:val="nil"/>
                    <w:tr2bl w:val="nil"/>
                  </w:tcBorders>
                  <w:vAlign w:val="center"/>
                </w:tcPr>
                <w:p w14:paraId="2935F343">
                  <w:pPr>
                    <w:jc w:val="center"/>
                    <w:rPr>
                      <w:color w:val="auto"/>
                    </w:rPr>
                  </w:pPr>
                </w:p>
              </w:tc>
              <w:tc>
                <w:tcPr>
                  <w:tcW w:w="1584" w:type="pct"/>
                  <w:vMerge w:val="continue"/>
                  <w:tcBorders>
                    <w:tl2br w:val="nil"/>
                    <w:tr2bl w:val="nil"/>
                  </w:tcBorders>
                  <w:vAlign w:val="center"/>
                </w:tcPr>
                <w:p w14:paraId="59F39CB4">
                  <w:pPr>
                    <w:jc w:val="center"/>
                    <w:rPr>
                      <w:color w:val="auto"/>
                    </w:rPr>
                  </w:pPr>
                </w:p>
              </w:tc>
              <w:tc>
                <w:tcPr>
                  <w:tcW w:w="2506" w:type="pct"/>
                  <w:tcBorders>
                    <w:tl2br w:val="nil"/>
                    <w:tr2bl w:val="nil"/>
                  </w:tcBorders>
                  <w:vAlign w:val="center"/>
                </w:tcPr>
                <w:p w14:paraId="4345CC82">
                  <w:pPr>
                    <w:jc w:val="center"/>
                    <w:rPr>
                      <w:rFonts w:hint="eastAsia"/>
                      <w:color w:val="auto"/>
                    </w:rPr>
                  </w:pPr>
                  <w:r>
                    <w:rPr>
                      <w:rFonts w:hint="eastAsia"/>
                      <w:color w:val="auto"/>
                    </w:rPr>
                    <w:t>废液压油</w:t>
                  </w:r>
                </w:p>
              </w:tc>
            </w:tr>
            <w:tr w14:paraId="4EE129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33D4A9A9">
                  <w:pPr>
                    <w:jc w:val="center"/>
                    <w:rPr>
                      <w:color w:val="auto"/>
                    </w:rPr>
                  </w:pPr>
                </w:p>
              </w:tc>
              <w:tc>
                <w:tcPr>
                  <w:tcW w:w="462" w:type="pct"/>
                  <w:vMerge w:val="continue"/>
                  <w:tcBorders>
                    <w:tl2br w:val="nil"/>
                    <w:tr2bl w:val="nil"/>
                  </w:tcBorders>
                  <w:vAlign w:val="center"/>
                </w:tcPr>
                <w:p w14:paraId="7FCEC887">
                  <w:pPr>
                    <w:jc w:val="center"/>
                    <w:rPr>
                      <w:color w:val="auto"/>
                    </w:rPr>
                  </w:pPr>
                </w:p>
              </w:tc>
              <w:tc>
                <w:tcPr>
                  <w:tcW w:w="1584" w:type="pct"/>
                  <w:vMerge w:val="continue"/>
                  <w:tcBorders>
                    <w:tl2br w:val="nil"/>
                    <w:tr2bl w:val="nil"/>
                  </w:tcBorders>
                  <w:vAlign w:val="center"/>
                </w:tcPr>
                <w:p w14:paraId="3DBB7E5C">
                  <w:pPr>
                    <w:jc w:val="center"/>
                    <w:rPr>
                      <w:color w:val="auto"/>
                    </w:rPr>
                  </w:pPr>
                </w:p>
              </w:tc>
              <w:tc>
                <w:tcPr>
                  <w:tcW w:w="2506" w:type="pct"/>
                  <w:tcBorders>
                    <w:tl2br w:val="nil"/>
                    <w:tr2bl w:val="nil"/>
                  </w:tcBorders>
                  <w:vAlign w:val="center"/>
                </w:tcPr>
                <w:p w14:paraId="25340AB9">
                  <w:pPr>
                    <w:jc w:val="center"/>
                    <w:rPr>
                      <w:rFonts w:hint="eastAsia"/>
                      <w:color w:val="auto"/>
                    </w:rPr>
                  </w:pPr>
                  <w:r>
                    <w:rPr>
                      <w:rFonts w:hint="eastAsia"/>
                      <w:color w:val="auto"/>
                    </w:rPr>
                    <w:t>废油桶</w:t>
                  </w:r>
                </w:p>
              </w:tc>
            </w:tr>
            <w:tr w14:paraId="5B3C8C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447" w:type="pct"/>
                  <w:vMerge w:val="continue"/>
                  <w:tcBorders>
                    <w:tl2br w:val="nil"/>
                    <w:tr2bl w:val="nil"/>
                  </w:tcBorders>
                  <w:vAlign w:val="center"/>
                </w:tcPr>
                <w:p w14:paraId="421CD059">
                  <w:pPr>
                    <w:jc w:val="center"/>
                    <w:rPr>
                      <w:color w:val="auto"/>
                    </w:rPr>
                  </w:pPr>
                </w:p>
              </w:tc>
              <w:tc>
                <w:tcPr>
                  <w:tcW w:w="462" w:type="pct"/>
                  <w:vMerge w:val="continue"/>
                  <w:tcBorders>
                    <w:tl2br w:val="nil"/>
                    <w:tr2bl w:val="nil"/>
                  </w:tcBorders>
                  <w:vAlign w:val="center"/>
                </w:tcPr>
                <w:p w14:paraId="64F1F79D">
                  <w:pPr>
                    <w:jc w:val="center"/>
                    <w:rPr>
                      <w:color w:val="auto"/>
                    </w:rPr>
                  </w:pPr>
                </w:p>
              </w:tc>
              <w:tc>
                <w:tcPr>
                  <w:tcW w:w="1584" w:type="pct"/>
                  <w:vMerge w:val="continue"/>
                  <w:tcBorders>
                    <w:tl2br w:val="nil"/>
                    <w:tr2bl w:val="nil"/>
                  </w:tcBorders>
                  <w:vAlign w:val="center"/>
                </w:tcPr>
                <w:p w14:paraId="24192B68">
                  <w:pPr>
                    <w:jc w:val="center"/>
                    <w:rPr>
                      <w:color w:val="auto"/>
                    </w:rPr>
                  </w:pPr>
                </w:p>
              </w:tc>
              <w:tc>
                <w:tcPr>
                  <w:tcW w:w="2506" w:type="pct"/>
                  <w:tcBorders>
                    <w:tl2br w:val="nil"/>
                    <w:tr2bl w:val="nil"/>
                  </w:tcBorders>
                  <w:vAlign w:val="center"/>
                </w:tcPr>
                <w:p w14:paraId="42155039">
                  <w:pPr>
                    <w:jc w:val="center"/>
                    <w:rPr>
                      <w:rFonts w:hint="eastAsia"/>
                      <w:color w:val="auto"/>
                    </w:rPr>
                  </w:pPr>
                  <w:r>
                    <w:rPr>
                      <w:rFonts w:hint="eastAsia"/>
                      <w:color w:val="auto"/>
                    </w:rPr>
                    <w:t>废抹布及手套</w:t>
                  </w:r>
                </w:p>
              </w:tc>
            </w:tr>
          </w:tbl>
          <w:p w14:paraId="233DAB6F">
            <w:pPr>
              <w:spacing w:line="360" w:lineRule="auto"/>
              <w:jc w:val="left"/>
              <w:rPr>
                <w:color w:val="auto"/>
                <w:kern w:val="0"/>
                <w:sz w:val="24"/>
                <w:szCs w:val="24"/>
              </w:rPr>
            </w:pPr>
            <w:r>
              <w:rPr>
                <w:rFonts w:hint="eastAsia"/>
                <w:b/>
                <w:color w:val="auto"/>
                <w:kern w:val="0"/>
                <w:sz w:val="24"/>
                <w:szCs w:val="24"/>
              </w:rPr>
              <w:t>2.</w:t>
            </w:r>
            <w:r>
              <w:rPr>
                <w:b/>
                <w:color w:val="auto"/>
                <w:kern w:val="0"/>
                <w:sz w:val="24"/>
                <w:szCs w:val="24"/>
              </w:rPr>
              <w:t>7</w:t>
            </w:r>
            <w:r>
              <w:rPr>
                <w:rFonts w:hint="eastAsia"/>
                <w:b/>
                <w:color w:val="auto"/>
                <w:kern w:val="0"/>
                <w:sz w:val="24"/>
                <w:szCs w:val="24"/>
              </w:rPr>
              <w:t xml:space="preserve"> 项目变更情况说明</w:t>
            </w:r>
          </w:p>
          <w:p w14:paraId="3D9407D0">
            <w:pPr>
              <w:adjustRightInd w:val="0"/>
              <w:snapToGrid w:val="0"/>
              <w:spacing w:line="360" w:lineRule="auto"/>
              <w:ind w:firstLine="480" w:firstLineChars="200"/>
              <w:rPr>
                <w:color w:val="auto"/>
                <w:sz w:val="24"/>
                <w:szCs w:val="24"/>
              </w:rPr>
            </w:pPr>
            <w:r>
              <w:rPr>
                <w:color w:val="auto"/>
                <w:sz w:val="24"/>
                <w:szCs w:val="24"/>
              </w:rPr>
              <w:t>根据中华人民共和国生态环境部办公厅发布的《污染影响类建设项目重大变动清单（试行）》（环办环评函[2020]688号），对本次变动进行判定，判定结果见下表：</w:t>
            </w:r>
          </w:p>
          <w:p w14:paraId="233766CA">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表2-8 项目变更情形对比表</w:t>
            </w:r>
          </w:p>
          <w:tbl>
            <w:tblPr>
              <w:tblStyle w:val="3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5530"/>
              <w:gridCol w:w="1915"/>
              <w:gridCol w:w="1226"/>
            </w:tblGrid>
            <w:tr w14:paraId="566617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Align w:val="center"/>
                </w:tcPr>
                <w:p w14:paraId="75FD00A7">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项目</w:t>
                  </w:r>
                </w:p>
              </w:tc>
              <w:tc>
                <w:tcPr>
                  <w:tcW w:w="2937" w:type="pct"/>
                  <w:vAlign w:val="center"/>
                </w:tcPr>
                <w:p w14:paraId="36D5097A">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重大变动情形</w:t>
                  </w:r>
                </w:p>
              </w:tc>
              <w:tc>
                <w:tcPr>
                  <w:tcW w:w="1017" w:type="pct"/>
                  <w:vAlign w:val="center"/>
                </w:tcPr>
                <w:p w14:paraId="2020A55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项目情况</w:t>
                  </w:r>
                </w:p>
              </w:tc>
              <w:tc>
                <w:tcPr>
                  <w:tcW w:w="651" w:type="pct"/>
                  <w:vAlign w:val="center"/>
                </w:tcPr>
                <w:p w14:paraId="151DD54B">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是否重大变更</w:t>
                  </w:r>
                </w:p>
              </w:tc>
            </w:tr>
            <w:tr w14:paraId="43232D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394" w:type="pct"/>
                  <w:vAlign w:val="center"/>
                </w:tcPr>
                <w:p w14:paraId="7C2F0A49">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性质</w:t>
                  </w:r>
                </w:p>
              </w:tc>
              <w:tc>
                <w:tcPr>
                  <w:tcW w:w="2937" w:type="pct"/>
                  <w:vAlign w:val="center"/>
                </w:tcPr>
                <w:p w14:paraId="4EAC24FA">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1.建设项目开发、使用功能发生变化的。</w:t>
                  </w:r>
                </w:p>
              </w:tc>
              <w:tc>
                <w:tcPr>
                  <w:tcW w:w="1017" w:type="pct"/>
                  <w:vAlign w:val="center"/>
                </w:tcPr>
                <w:p w14:paraId="07BE4DC2">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5106650B">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514EC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restart"/>
                  <w:vAlign w:val="center"/>
                </w:tcPr>
                <w:p w14:paraId="042A706B">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规模</w:t>
                  </w:r>
                </w:p>
              </w:tc>
              <w:tc>
                <w:tcPr>
                  <w:tcW w:w="2937" w:type="pct"/>
                  <w:vAlign w:val="center"/>
                </w:tcPr>
                <w:p w14:paraId="160E8097">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2.生产、处置或储存能力增大30%及以上的。</w:t>
                  </w:r>
                </w:p>
              </w:tc>
              <w:tc>
                <w:tcPr>
                  <w:tcW w:w="1017" w:type="pct"/>
                  <w:vAlign w:val="center"/>
                </w:tcPr>
                <w:p w14:paraId="12059CB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44D679B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2D946A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continue"/>
                  <w:vAlign w:val="center"/>
                </w:tcPr>
                <w:p w14:paraId="206765B0">
                  <w:pPr>
                    <w:jc w:val="center"/>
                    <w:rPr>
                      <w:rFonts w:hint="eastAsia" w:ascii="Times New Roman" w:hAnsi="Times New Roman" w:eastAsia="宋体" w:cs="Times New Roman"/>
                      <w:color w:val="auto"/>
                      <w:kern w:val="2"/>
                      <w:sz w:val="21"/>
                      <w:szCs w:val="21"/>
                      <w:highlight w:val="none"/>
                      <w:lang w:val="en-US" w:eastAsia="zh-CN" w:bidi="ar-SA"/>
                    </w:rPr>
                  </w:pPr>
                </w:p>
              </w:tc>
              <w:tc>
                <w:tcPr>
                  <w:tcW w:w="2937" w:type="pct"/>
                  <w:vAlign w:val="center"/>
                </w:tcPr>
                <w:p w14:paraId="1BC22461">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3.生产、处置或储存能力增大，导致废水第一类污染物排放量增加的。</w:t>
                  </w:r>
                </w:p>
              </w:tc>
              <w:tc>
                <w:tcPr>
                  <w:tcW w:w="1017" w:type="pct"/>
                  <w:vAlign w:val="center"/>
                </w:tcPr>
                <w:p w14:paraId="3204F33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无变化</w:t>
                  </w:r>
                </w:p>
              </w:tc>
              <w:tc>
                <w:tcPr>
                  <w:tcW w:w="651" w:type="pct"/>
                  <w:vAlign w:val="center"/>
                </w:tcPr>
                <w:p w14:paraId="42173A7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415B0F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394" w:type="pct"/>
                  <w:vMerge w:val="continue"/>
                  <w:vAlign w:val="center"/>
                </w:tcPr>
                <w:p w14:paraId="44412DB6">
                  <w:pPr>
                    <w:tabs>
                      <w:tab w:val="center" w:pos="4153"/>
                      <w:tab w:val="right" w:pos="8306"/>
                    </w:tabs>
                    <w:jc w:val="center"/>
                    <w:rPr>
                      <w:b w:val="0"/>
                      <w:bCs w:val="0"/>
                      <w:color w:val="auto"/>
                      <w:kern w:val="24"/>
                      <w:sz w:val="18"/>
                      <w:szCs w:val="18"/>
                    </w:rPr>
                  </w:pPr>
                </w:p>
              </w:tc>
              <w:tc>
                <w:tcPr>
                  <w:tcW w:w="2937" w:type="pct"/>
                  <w:vAlign w:val="center"/>
                </w:tcPr>
                <w:p w14:paraId="08783954">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1017" w:type="pct"/>
                  <w:vAlign w:val="center"/>
                </w:tcPr>
                <w:p w14:paraId="44EB067D">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无变化</w:t>
                  </w:r>
                </w:p>
              </w:tc>
              <w:tc>
                <w:tcPr>
                  <w:tcW w:w="651" w:type="pct"/>
                  <w:vAlign w:val="center"/>
                </w:tcPr>
                <w:p w14:paraId="0C005F91">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094CAD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Align w:val="center"/>
                </w:tcPr>
                <w:p w14:paraId="0544024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地点</w:t>
                  </w:r>
                </w:p>
              </w:tc>
              <w:tc>
                <w:tcPr>
                  <w:tcW w:w="2937" w:type="pct"/>
                  <w:vAlign w:val="center"/>
                </w:tcPr>
                <w:p w14:paraId="2E0731E0">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5.重新选址；在原厂址附近调整（包括总平面布置变化）导致环境防护距离范围变化且新增敏感点的。</w:t>
                  </w:r>
                </w:p>
              </w:tc>
              <w:tc>
                <w:tcPr>
                  <w:tcW w:w="1017" w:type="pct"/>
                  <w:vAlign w:val="center"/>
                </w:tcPr>
                <w:p w14:paraId="53E6075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3A01E570">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79D1D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94" w:type="pct"/>
                  <w:vMerge w:val="restart"/>
                  <w:vAlign w:val="center"/>
                </w:tcPr>
                <w:p w14:paraId="69FB070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生产工艺</w:t>
                  </w:r>
                </w:p>
              </w:tc>
              <w:tc>
                <w:tcPr>
                  <w:tcW w:w="2937" w:type="pct"/>
                  <w:vAlign w:val="center"/>
                </w:tcPr>
                <w:p w14:paraId="6AD4EEF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新增产品品种或生产工艺（含主要生产装置、设备及配套设施）、主要原辅材料、燃料变化，导致以下情形之一：(1)新增排放污染物种类的（毒性、挥发性降低的除外）；(2)位于环境质量不达标区的建设项目相应污染物排放量增加的；(3)废水第一类污染物排放量增加的；(4)其他污染物排放量增加10%及以上的。</w:t>
                  </w:r>
                </w:p>
              </w:tc>
              <w:tc>
                <w:tcPr>
                  <w:tcW w:w="1017" w:type="pct"/>
                  <w:vAlign w:val="center"/>
                </w:tcPr>
                <w:p w14:paraId="4C914451">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无变化</w:t>
                  </w:r>
                </w:p>
              </w:tc>
              <w:tc>
                <w:tcPr>
                  <w:tcW w:w="651" w:type="pct"/>
                  <w:vAlign w:val="center"/>
                </w:tcPr>
                <w:p w14:paraId="4F1C482F">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0F2978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continue"/>
                  <w:vAlign w:val="center"/>
                </w:tcPr>
                <w:p w14:paraId="0FFCB0C8">
                  <w:pPr>
                    <w:jc w:val="center"/>
                    <w:rPr>
                      <w:rFonts w:hint="eastAsia" w:ascii="Times New Roman" w:hAnsi="Times New Roman" w:eastAsia="宋体" w:cs="Times New Roman"/>
                      <w:color w:val="auto"/>
                      <w:kern w:val="2"/>
                      <w:sz w:val="21"/>
                      <w:szCs w:val="21"/>
                      <w:highlight w:val="none"/>
                      <w:lang w:val="en-US" w:eastAsia="zh-CN" w:bidi="ar-SA"/>
                    </w:rPr>
                  </w:pPr>
                </w:p>
              </w:tc>
              <w:tc>
                <w:tcPr>
                  <w:tcW w:w="2937" w:type="pct"/>
                  <w:vAlign w:val="center"/>
                </w:tcPr>
                <w:p w14:paraId="05097A9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7.物料运输、装卸、贮存方式变化，导致大气污染物无组织排放量增加10%及以上的。</w:t>
                  </w:r>
                </w:p>
              </w:tc>
              <w:tc>
                <w:tcPr>
                  <w:tcW w:w="1017" w:type="pct"/>
                  <w:vAlign w:val="center"/>
                </w:tcPr>
                <w:p w14:paraId="103BBA50">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6F34C987">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083F41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restart"/>
                  <w:vAlign w:val="center"/>
                </w:tcPr>
                <w:p w14:paraId="7A10B56F">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环境保护措施</w:t>
                  </w:r>
                </w:p>
              </w:tc>
              <w:tc>
                <w:tcPr>
                  <w:tcW w:w="2937" w:type="pct"/>
                  <w:vAlign w:val="center"/>
                </w:tcPr>
                <w:p w14:paraId="4F3B10A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8.废气、废水污染防治措施变化，导致第6条中所列情形之一（废气无组织排放改为有组织排放、污染防治措施强化或改进的除外）或大气污染物无组织排放量增加10%及以上的。</w:t>
                  </w:r>
                </w:p>
              </w:tc>
              <w:tc>
                <w:tcPr>
                  <w:tcW w:w="1017" w:type="pct"/>
                  <w:vAlign w:val="center"/>
                </w:tcPr>
                <w:p w14:paraId="68F65BC2">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无变化</w:t>
                  </w:r>
                </w:p>
              </w:tc>
              <w:tc>
                <w:tcPr>
                  <w:tcW w:w="651" w:type="pct"/>
                  <w:vAlign w:val="center"/>
                </w:tcPr>
                <w:p w14:paraId="1DC6A20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36CDB8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continue"/>
                  <w:vAlign w:val="center"/>
                </w:tcPr>
                <w:p w14:paraId="671156DF">
                  <w:pPr>
                    <w:tabs>
                      <w:tab w:val="center" w:pos="4153"/>
                      <w:tab w:val="right" w:pos="8306"/>
                    </w:tabs>
                    <w:jc w:val="center"/>
                    <w:rPr>
                      <w:b w:val="0"/>
                      <w:bCs w:val="0"/>
                      <w:color w:val="auto"/>
                      <w:sz w:val="18"/>
                      <w:szCs w:val="18"/>
                    </w:rPr>
                  </w:pPr>
                </w:p>
              </w:tc>
              <w:tc>
                <w:tcPr>
                  <w:tcW w:w="2937" w:type="pct"/>
                  <w:vAlign w:val="center"/>
                </w:tcPr>
                <w:p w14:paraId="508EF53D">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9.新增废水直接排放口；废水由间接排放改为直接排放；废水直接排放口位置变化，导致不利环境影响加重的。</w:t>
                  </w:r>
                </w:p>
              </w:tc>
              <w:tc>
                <w:tcPr>
                  <w:tcW w:w="1017" w:type="pct"/>
                  <w:vAlign w:val="center"/>
                </w:tcPr>
                <w:p w14:paraId="31C98C7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53AE5BD4">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4F7EF5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continue"/>
                  <w:vAlign w:val="center"/>
                </w:tcPr>
                <w:p w14:paraId="37CED203">
                  <w:pPr>
                    <w:tabs>
                      <w:tab w:val="center" w:pos="4153"/>
                      <w:tab w:val="right" w:pos="8306"/>
                    </w:tabs>
                    <w:jc w:val="center"/>
                    <w:rPr>
                      <w:b w:val="0"/>
                      <w:bCs w:val="0"/>
                      <w:color w:val="auto"/>
                      <w:sz w:val="18"/>
                      <w:szCs w:val="18"/>
                    </w:rPr>
                  </w:pPr>
                </w:p>
              </w:tc>
              <w:tc>
                <w:tcPr>
                  <w:tcW w:w="2937" w:type="pct"/>
                  <w:vAlign w:val="center"/>
                </w:tcPr>
                <w:p w14:paraId="1F0609B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10.新增废气主要排放口（废气无组织排放改为有组织排放的除外）；主要排放口排气筒高度降低10%及以上的。</w:t>
                  </w:r>
                </w:p>
              </w:tc>
              <w:tc>
                <w:tcPr>
                  <w:tcW w:w="1017" w:type="pct"/>
                  <w:vAlign w:val="center"/>
                </w:tcPr>
                <w:p w14:paraId="5C37FE09">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4578FB85">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1F6327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continue"/>
                  <w:vAlign w:val="center"/>
                </w:tcPr>
                <w:p w14:paraId="731B6BAC">
                  <w:pPr>
                    <w:tabs>
                      <w:tab w:val="center" w:pos="4153"/>
                      <w:tab w:val="right" w:pos="8306"/>
                    </w:tabs>
                    <w:jc w:val="center"/>
                    <w:rPr>
                      <w:b w:val="0"/>
                      <w:bCs w:val="0"/>
                      <w:color w:val="auto"/>
                      <w:sz w:val="18"/>
                      <w:szCs w:val="18"/>
                    </w:rPr>
                  </w:pPr>
                </w:p>
              </w:tc>
              <w:tc>
                <w:tcPr>
                  <w:tcW w:w="2937" w:type="pct"/>
                  <w:vAlign w:val="center"/>
                </w:tcPr>
                <w:p w14:paraId="6F522F07">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11.噪声、土壤或地下水污染防治措施变化，导致不利环境影响加重的</w:t>
                  </w:r>
                </w:p>
              </w:tc>
              <w:tc>
                <w:tcPr>
                  <w:tcW w:w="1017" w:type="pct"/>
                  <w:vAlign w:val="center"/>
                </w:tcPr>
                <w:p w14:paraId="7615756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23B58955">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1C88C5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continue"/>
                  <w:vAlign w:val="center"/>
                </w:tcPr>
                <w:p w14:paraId="1A99BAD3">
                  <w:pPr>
                    <w:tabs>
                      <w:tab w:val="center" w:pos="4153"/>
                      <w:tab w:val="right" w:pos="8306"/>
                    </w:tabs>
                    <w:jc w:val="center"/>
                    <w:rPr>
                      <w:b w:val="0"/>
                      <w:bCs w:val="0"/>
                      <w:color w:val="auto"/>
                      <w:sz w:val="18"/>
                      <w:szCs w:val="18"/>
                    </w:rPr>
                  </w:pPr>
                </w:p>
              </w:tc>
              <w:tc>
                <w:tcPr>
                  <w:tcW w:w="2937" w:type="pct"/>
                  <w:vAlign w:val="center"/>
                </w:tcPr>
                <w:p w14:paraId="01F24364">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12.固体废物利用处置方式由委托外单位利用处置改为自行利用处置的（自行利用处置设施单独开展环境影响评价的除外）；固体废物自行处置方式变化，导致不利环境影响加重的。</w:t>
                  </w:r>
                </w:p>
              </w:tc>
              <w:tc>
                <w:tcPr>
                  <w:tcW w:w="1017" w:type="pct"/>
                  <w:vAlign w:val="center"/>
                </w:tcPr>
                <w:p w14:paraId="1FF6F445">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1D897E6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r w14:paraId="7CF0D4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4" w:type="pct"/>
                  <w:vMerge w:val="continue"/>
                  <w:vAlign w:val="center"/>
                </w:tcPr>
                <w:p w14:paraId="53BDF143">
                  <w:pPr>
                    <w:tabs>
                      <w:tab w:val="center" w:pos="4153"/>
                      <w:tab w:val="right" w:pos="8306"/>
                    </w:tabs>
                    <w:jc w:val="center"/>
                    <w:rPr>
                      <w:b w:val="0"/>
                      <w:bCs w:val="0"/>
                      <w:color w:val="auto"/>
                      <w:sz w:val="18"/>
                      <w:szCs w:val="18"/>
                    </w:rPr>
                  </w:pPr>
                </w:p>
              </w:tc>
              <w:tc>
                <w:tcPr>
                  <w:tcW w:w="2937" w:type="pct"/>
                  <w:vAlign w:val="center"/>
                </w:tcPr>
                <w:p w14:paraId="6C940621">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13.事故废水暂存能力或拦截设施变化，导致环境风险防范能力弱化或降低的。</w:t>
                  </w:r>
                </w:p>
              </w:tc>
              <w:tc>
                <w:tcPr>
                  <w:tcW w:w="1017" w:type="pct"/>
                  <w:vAlign w:val="center"/>
                </w:tcPr>
                <w:p w14:paraId="7B4D3F6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无变化</w:t>
                  </w:r>
                </w:p>
              </w:tc>
              <w:tc>
                <w:tcPr>
                  <w:tcW w:w="651" w:type="pct"/>
                  <w:vAlign w:val="center"/>
                </w:tcPr>
                <w:p w14:paraId="5D31DF54">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否</w:t>
                  </w:r>
                </w:p>
              </w:tc>
            </w:tr>
          </w:tbl>
          <w:p w14:paraId="41A93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vertAlign w:val="baseline"/>
                <w:lang w:val="en-US" w:eastAsia="zh-CN"/>
              </w:rPr>
            </w:pPr>
            <w:r>
              <w:rPr>
                <w:rFonts w:hint="eastAsia"/>
                <w:color w:val="auto"/>
                <w:sz w:val="24"/>
                <w:szCs w:val="24"/>
              </w:rPr>
              <w:t>根据上所述，本项目此次变动不属于重大变更。</w:t>
            </w:r>
          </w:p>
        </w:tc>
      </w:tr>
    </w:tbl>
    <w:p w14:paraId="3A4804BF">
      <w:pPr>
        <w:bidi w:val="0"/>
        <w:rPr>
          <w:rFonts w:hint="default"/>
          <w:color w:val="auto"/>
          <w:lang w:val="en-US" w:eastAsia="zh-CN"/>
        </w:rPr>
        <w:sectPr>
          <w:footerReference r:id="rId6" w:type="default"/>
          <w:pgSz w:w="11907" w:h="16840"/>
          <w:pgMar w:top="1077" w:right="1247" w:bottom="1077" w:left="1247" w:header="851" w:footer="442" w:gutter="0"/>
          <w:pgBorders>
            <w:top w:val="none" w:sz="0" w:space="0"/>
            <w:left w:val="none" w:sz="0" w:space="0"/>
            <w:bottom w:val="none" w:sz="0" w:space="0"/>
            <w:right w:val="none" w:sz="0" w:space="0"/>
          </w:pgBorders>
          <w:pgNumType w:start="1"/>
          <w:cols w:space="720" w:num="1"/>
          <w:docGrid w:type="lines" w:linePitch="312" w:charSpace="0"/>
        </w:sectPr>
      </w:pPr>
    </w:p>
    <w:p w14:paraId="0773D1E4">
      <w:pPr>
        <w:pStyle w:val="7"/>
        <w:rPr>
          <w:color w:val="auto"/>
        </w:rPr>
      </w:pPr>
      <w:bookmarkStart w:id="2" w:name="OLE_LINK5"/>
      <w:bookmarkStart w:id="3" w:name="_Toc523906057"/>
      <w:r>
        <w:rPr>
          <w:color w:val="auto"/>
        </w:rPr>
        <w:t>表三  主要污染源</w:t>
      </w:r>
      <w:bookmarkEnd w:id="2"/>
      <w:r>
        <w:rPr>
          <w:rFonts w:hint="eastAsia"/>
          <w:color w:val="auto"/>
        </w:rPr>
        <w:t>、</w:t>
      </w:r>
      <w:r>
        <w:rPr>
          <w:color w:val="auto"/>
        </w:rPr>
        <w:t>污染物处理及其排放情况</w:t>
      </w:r>
      <w:bookmarkEnd w:id="3"/>
    </w:p>
    <w:tbl>
      <w:tblPr>
        <w:tblStyle w:val="34"/>
        <w:tblW w:w="9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6"/>
      </w:tblGrid>
      <w:tr w14:paraId="66E5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5" w:hRule="atLeast"/>
        </w:trPr>
        <w:tc>
          <w:tcPr>
            <w:tcW w:w="9626" w:type="dxa"/>
            <w:shd w:val="clear" w:color="auto" w:fill="auto"/>
          </w:tcPr>
          <w:p w14:paraId="4B882709">
            <w:pPr>
              <w:adjustRightInd w:val="0"/>
              <w:snapToGrid w:val="0"/>
              <w:spacing w:line="360" w:lineRule="auto"/>
              <w:ind w:firstLine="480" w:firstLineChars="200"/>
              <w:rPr>
                <w:color w:val="auto"/>
                <w:sz w:val="24"/>
                <w:szCs w:val="24"/>
              </w:rPr>
            </w:pPr>
            <w:r>
              <w:rPr>
                <w:rFonts w:hint="eastAsia"/>
                <w:color w:val="auto"/>
                <w:sz w:val="24"/>
                <w:szCs w:val="24"/>
              </w:rPr>
              <w:t>项目运营期主要污染物、污染物处理及排放情况见表3-1。</w:t>
            </w:r>
          </w:p>
          <w:p w14:paraId="6CFDFD62">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表3-1 主要污染源、污染物处理和排放</w:t>
            </w:r>
          </w:p>
          <w:tbl>
            <w:tblPr>
              <w:tblStyle w:val="34"/>
              <w:tblW w:w="4995"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433"/>
              <w:gridCol w:w="1362"/>
              <w:gridCol w:w="1302"/>
              <w:gridCol w:w="2818"/>
              <w:gridCol w:w="2843"/>
            </w:tblGrid>
            <w:tr w14:paraId="35BA72E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6" w:hRule="atLeast"/>
                <w:tblHeader/>
                <w:jc w:val="center"/>
              </w:trPr>
              <w:tc>
                <w:tcPr>
                  <w:tcW w:w="342" w:type="pct"/>
                  <w:tcBorders>
                    <w:tl2br w:val="nil"/>
                    <w:tr2bl w:val="nil"/>
                  </w:tcBorders>
                  <w:shd w:val="clear" w:color="auto" w:fill="auto"/>
                  <w:vAlign w:val="center"/>
                </w:tcPr>
                <w:p w14:paraId="194B222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类别</w:t>
                  </w:r>
                </w:p>
              </w:tc>
              <w:tc>
                <w:tcPr>
                  <w:tcW w:w="954" w:type="pct"/>
                  <w:gridSpan w:val="2"/>
                  <w:tcBorders>
                    <w:tl2br w:val="nil"/>
                    <w:tr2bl w:val="nil"/>
                  </w:tcBorders>
                  <w:shd w:val="clear" w:color="auto" w:fill="auto"/>
                  <w:vAlign w:val="center"/>
                </w:tcPr>
                <w:p w14:paraId="2BC9EDFA">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污染源</w:t>
                  </w:r>
                </w:p>
              </w:tc>
              <w:tc>
                <w:tcPr>
                  <w:tcW w:w="692" w:type="pct"/>
                  <w:tcBorders>
                    <w:tl2br w:val="nil"/>
                    <w:tr2bl w:val="nil"/>
                  </w:tcBorders>
                  <w:shd w:val="clear" w:color="auto" w:fill="auto"/>
                  <w:vAlign w:val="center"/>
                </w:tcPr>
                <w:p w14:paraId="5961AABF">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主要污染物</w:t>
                  </w:r>
                </w:p>
              </w:tc>
              <w:tc>
                <w:tcPr>
                  <w:tcW w:w="1498" w:type="pct"/>
                  <w:tcBorders>
                    <w:tl2br w:val="nil"/>
                    <w:tr2bl w:val="nil"/>
                  </w:tcBorders>
                  <w:shd w:val="clear" w:color="auto" w:fill="auto"/>
                  <w:vAlign w:val="center"/>
                </w:tcPr>
                <w:p w14:paraId="23D72F6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环评设计治理措施</w:t>
                  </w:r>
                </w:p>
              </w:tc>
              <w:tc>
                <w:tcPr>
                  <w:tcW w:w="1511" w:type="pct"/>
                  <w:tcBorders>
                    <w:tl2br w:val="nil"/>
                    <w:tr2bl w:val="nil"/>
                  </w:tcBorders>
                  <w:shd w:val="clear" w:color="auto" w:fill="auto"/>
                  <w:vAlign w:val="center"/>
                </w:tcPr>
                <w:p w14:paraId="300D9272">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实际治理措施</w:t>
                  </w:r>
                </w:p>
              </w:tc>
            </w:tr>
            <w:tr w14:paraId="727936C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2" w:type="pct"/>
                  <w:vMerge w:val="restart"/>
                  <w:tcBorders>
                    <w:tl2br w:val="nil"/>
                    <w:tr2bl w:val="nil"/>
                  </w:tcBorders>
                  <w:shd w:val="clear" w:color="auto" w:fill="auto"/>
                  <w:vAlign w:val="center"/>
                </w:tcPr>
                <w:p w14:paraId="40F949E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废气</w:t>
                  </w:r>
                </w:p>
              </w:tc>
              <w:tc>
                <w:tcPr>
                  <w:tcW w:w="230" w:type="pct"/>
                  <w:vMerge w:val="restart"/>
                  <w:tcBorders>
                    <w:tl2br w:val="nil"/>
                    <w:tr2bl w:val="nil"/>
                  </w:tcBorders>
                  <w:shd w:val="clear" w:color="auto" w:fill="auto"/>
                  <w:vAlign w:val="center"/>
                </w:tcPr>
                <w:p w14:paraId="2D582B97">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有</w:t>
                  </w:r>
                </w:p>
                <w:p w14:paraId="5EB28D1D">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组</w:t>
                  </w:r>
                </w:p>
                <w:p w14:paraId="176216A5">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织</w:t>
                  </w:r>
                </w:p>
              </w:tc>
              <w:tc>
                <w:tcPr>
                  <w:tcW w:w="724" w:type="pct"/>
                  <w:tcBorders>
                    <w:tl2br w:val="nil"/>
                    <w:tr2bl w:val="nil"/>
                  </w:tcBorders>
                  <w:shd w:val="clear" w:color="auto" w:fill="auto"/>
                  <w:vAlign w:val="center"/>
                </w:tcPr>
                <w:p w14:paraId="6E608F41">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焊接烟尘</w:t>
                  </w:r>
                </w:p>
              </w:tc>
              <w:tc>
                <w:tcPr>
                  <w:tcW w:w="692" w:type="pct"/>
                  <w:tcBorders>
                    <w:tl2br w:val="nil"/>
                    <w:tr2bl w:val="nil"/>
                  </w:tcBorders>
                  <w:shd w:val="clear" w:color="auto" w:fill="auto"/>
                  <w:vAlign w:val="center"/>
                </w:tcPr>
                <w:p w14:paraId="45107C3F">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c>
                <w:tcPr>
                  <w:tcW w:w="1498" w:type="pct"/>
                  <w:tcBorders>
                    <w:tl2br w:val="nil"/>
                    <w:tr2bl w:val="nil"/>
                  </w:tcBorders>
                  <w:shd w:val="clear" w:color="auto" w:fill="auto"/>
                  <w:vAlign w:val="center"/>
                </w:tcPr>
                <w:p w14:paraId="4360F2E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布袋除尘器（TA001）+1根15m排气筒（DA001）</w:t>
                  </w:r>
                </w:p>
              </w:tc>
              <w:tc>
                <w:tcPr>
                  <w:tcW w:w="1511" w:type="pct"/>
                  <w:tcBorders>
                    <w:tl2br w:val="nil"/>
                    <w:tr2bl w:val="nil"/>
                  </w:tcBorders>
                  <w:shd w:val="clear" w:color="auto" w:fill="auto"/>
                  <w:vAlign w:val="center"/>
                </w:tcPr>
                <w:p w14:paraId="547B124F">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布袋除尘器（TA001）+1根20m排气筒（DA001）</w:t>
                  </w:r>
                </w:p>
              </w:tc>
            </w:tr>
            <w:tr w14:paraId="636C86A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2" w:type="pct"/>
                  <w:vMerge w:val="continue"/>
                  <w:tcBorders>
                    <w:tl2br w:val="nil"/>
                    <w:tr2bl w:val="nil"/>
                  </w:tcBorders>
                  <w:shd w:val="clear" w:color="auto" w:fill="auto"/>
                  <w:vAlign w:val="center"/>
                </w:tcPr>
                <w:p w14:paraId="6EA366C9">
                  <w:pPr>
                    <w:jc w:val="center"/>
                    <w:rPr>
                      <w:color w:val="auto"/>
                    </w:rPr>
                  </w:pPr>
                </w:p>
              </w:tc>
              <w:tc>
                <w:tcPr>
                  <w:tcW w:w="230" w:type="pct"/>
                  <w:vMerge w:val="continue"/>
                  <w:tcBorders>
                    <w:tl2br w:val="nil"/>
                    <w:tr2bl w:val="nil"/>
                  </w:tcBorders>
                  <w:shd w:val="clear" w:color="auto" w:fill="auto"/>
                  <w:vAlign w:val="center"/>
                </w:tcPr>
                <w:p w14:paraId="429E5AEC">
                  <w:pPr>
                    <w:jc w:val="center"/>
                    <w:rPr>
                      <w:color w:val="auto"/>
                    </w:rPr>
                  </w:pPr>
                </w:p>
              </w:tc>
              <w:tc>
                <w:tcPr>
                  <w:tcW w:w="724" w:type="pct"/>
                  <w:tcBorders>
                    <w:tl2br w:val="nil"/>
                    <w:tr2bl w:val="nil"/>
                  </w:tcBorders>
                  <w:shd w:val="clear" w:color="auto" w:fill="auto"/>
                  <w:vAlign w:val="center"/>
                </w:tcPr>
                <w:p w14:paraId="2950B9D5">
                  <w:pPr>
                    <w:jc w:val="center"/>
                    <w:rPr>
                      <w:color w:val="auto"/>
                    </w:rPr>
                  </w:pPr>
                  <w:r>
                    <w:rPr>
                      <w:rFonts w:hint="eastAsia"/>
                      <w:color w:val="auto"/>
                      <w:highlight w:val="none"/>
                      <w:lang w:eastAsia="zh-CN"/>
                    </w:rPr>
                    <w:t>抛丸粉尘</w:t>
                  </w:r>
                </w:p>
              </w:tc>
              <w:tc>
                <w:tcPr>
                  <w:tcW w:w="692" w:type="pct"/>
                  <w:tcBorders>
                    <w:tl2br w:val="nil"/>
                    <w:tr2bl w:val="nil"/>
                  </w:tcBorders>
                  <w:shd w:val="clear" w:color="auto" w:fill="auto"/>
                  <w:vAlign w:val="center"/>
                </w:tcPr>
                <w:p w14:paraId="5F9B9505">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c>
                <w:tcPr>
                  <w:tcW w:w="1498" w:type="pct"/>
                  <w:tcBorders>
                    <w:tl2br w:val="nil"/>
                    <w:tr2bl w:val="nil"/>
                  </w:tcBorders>
                  <w:shd w:val="clear" w:color="auto" w:fill="auto"/>
                  <w:vAlign w:val="center"/>
                </w:tcPr>
                <w:p w14:paraId="750EC625">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设备自带布袋除尘器（TA002）+1根15m排气筒（DA002）</w:t>
                  </w:r>
                </w:p>
              </w:tc>
              <w:tc>
                <w:tcPr>
                  <w:tcW w:w="1511" w:type="pct"/>
                  <w:tcBorders>
                    <w:tl2br w:val="nil"/>
                    <w:tr2bl w:val="nil"/>
                  </w:tcBorders>
                  <w:shd w:val="clear" w:color="auto" w:fill="auto"/>
                  <w:vAlign w:val="center"/>
                </w:tcPr>
                <w:p w14:paraId="23C86092">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设备自带布袋除尘器（TA002）+1根20m排气筒（DA002）</w:t>
                  </w:r>
                </w:p>
              </w:tc>
            </w:tr>
            <w:tr w14:paraId="52F94B8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42" w:type="pct"/>
                  <w:vMerge w:val="continue"/>
                  <w:tcBorders>
                    <w:tl2br w:val="nil"/>
                    <w:tr2bl w:val="nil"/>
                  </w:tcBorders>
                  <w:shd w:val="clear" w:color="auto" w:fill="auto"/>
                  <w:vAlign w:val="center"/>
                </w:tcPr>
                <w:p w14:paraId="21DC726D">
                  <w:pPr>
                    <w:jc w:val="center"/>
                    <w:rPr>
                      <w:rFonts w:hint="eastAsia" w:ascii="Times New Roman" w:hAnsi="Times New Roman" w:eastAsia="宋体" w:cs="Times New Roman"/>
                      <w:color w:val="auto"/>
                      <w:kern w:val="2"/>
                      <w:sz w:val="21"/>
                      <w:szCs w:val="21"/>
                      <w:highlight w:val="none"/>
                      <w:lang w:val="en-US" w:eastAsia="zh-CN" w:bidi="ar-SA"/>
                    </w:rPr>
                  </w:pPr>
                </w:p>
              </w:tc>
              <w:tc>
                <w:tcPr>
                  <w:tcW w:w="230" w:type="pct"/>
                  <w:vMerge w:val="continue"/>
                  <w:tcBorders>
                    <w:tl2br w:val="nil"/>
                    <w:tr2bl w:val="nil"/>
                  </w:tcBorders>
                  <w:shd w:val="clear" w:color="auto" w:fill="auto"/>
                  <w:vAlign w:val="center"/>
                </w:tcPr>
                <w:p w14:paraId="07B5751D">
                  <w:pPr>
                    <w:jc w:val="center"/>
                    <w:rPr>
                      <w:rFonts w:hint="eastAsia" w:ascii="Times New Roman" w:hAnsi="Times New Roman" w:eastAsia="宋体" w:cs="Times New Roman"/>
                      <w:color w:val="auto"/>
                      <w:kern w:val="2"/>
                      <w:sz w:val="21"/>
                      <w:szCs w:val="21"/>
                      <w:highlight w:val="none"/>
                      <w:lang w:val="en-US" w:eastAsia="zh-CN" w:bidi="ar-SA"/>
                    </w:rPr>
                  </w:pPr>
                </w:p>
              </w:tc>
              <w:tc>
                <w:tcPr>
                  <w:tcW w:w="724" w:type="pct"/>
                  <w:tcBorders>
                    <w:tl2br w:val="nil"/>
                    <w:tr2bl w:val="nil"/>
                  </w:tcBorders>
                  <w:shd w:val="clear" w:color="auto" w:fill="auto"/>
                  <w:vAlign w:val="center"/>
                </w:tcPr>
                <w:p w14:paraId="4DE037E1">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喷塑及胶带、PE带缠绕</w:t>
                  </w:r>
                </w:p>
              </w:tc>
              <w:tc>
                <w:tcPr>
                  <w:tcW w:w="692" w:type="pct"/>
                  <w:tcBorders>
                    <w:tl2br w:val="nil"/>
                    <w:tr2bl w:val="nil"/>
                  </w:tcBorders>
                  <w:shd w:val="clear" w:color="auto" w:fill="auto"/>
                  <w:vAlign w:val="center"/>
                </w:tcPr>
                <w:p w14:paraId="485A76AB">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颗粒物、非甲烷总烃</w:t>
                  </w:r>
                </w:p>
              </w:tc>
              <w:tc>
                <w:tcPr>
                  <w:tcW w:w="1498" w:type="pct"/>
                  <w:tcBorders>
                    <w:tl2br w:val="nil"/>
                    <w:tr2bl w:val="nil"/>
                  </w:tcBorders>
                  <w:shd w:val="clear" w:color="auto" w:fill="auto"/>
                  <w:vAlign w:val="center"/>
                </w:tcPr>
                <w:p w14:paraId="7290084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布袋除尘器（TA003）去除喷塑粉尘后与胶带、PE带缠绕有机废气并引入1套二级活性炭吸附装置（TA004）+1根15m高排气筒（DA003）</w:t>
                  </w:r>
                </w:p>
              </w:tc>
              <w:tc>
                <w:tcPr>
                  <w:tcW w:w="1511" w:type="pct"/>
                  <w:tcBorders>
                    <w:tl2br w:val="nil"/>
                    <w:tr2bl w:val="nil"/>
                  </w:tcBorders>
                  <w:shd w:val="clear" w:color="auto" w:fill="auto"/>
                  <w:vAlign w:val="center"/>
                </w:tcPr>
                <w:p w14:paraId="64C73BC0">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布袋除尘器（TA003）去除喷塑粉尘后与胶带、PE带缠绕有机废气并引入1套二级活性炭吸附装置（TA004）+1根20m高排气筒（DA003）</w:t>
                  </w:r>
                </w:p>
              </w:tc>
            </w:tr>
            <w:tr w14:paraId="08EBEA8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342" w:type="pct"/>
                  <w:vMerge w:val="continue"/>
                  <w:tcBorders>
                    <w:tl2br w:val="nil"/>
                    <w:tr2bl w:val="nil"/>
                  </w:tcBorders>
                  <w:shd w:val="clear" w:color="auto" w:fill="auto"/>
                  <w:vAlign w:val="center"/>
                </w:tcPr>
                <w:p w14:paraId="3EBFEA3F">
                  <w:pPr>
                    <w:jc w:val="center"/>
                    <w:rPr>
                      <w:b w:val="0"/>
                      <w:bCs/>
                      <w:color w:val="auto"/>
                      <w:sz w:val="18"/>
                      <w:szCs w:val="18"/>
                    </w:rPr>
                  </w:pPr>
                </w:p>
              </w:tc>
              <w:tc>
                <w:tcPr>
                  <w:tcW w:w="954" w:type="pct"/>
                  <w:gridSpan w:val="2"/>
                  <w:tcBorders>
                    <w:tl2br w:val="nil"/>
                    <w:tr2bl w:val="nil"/>
                  </w:tcBorders>
                  <w:shd w:val="clear" w:color="auto" w:fill="auto"/>
                  <w:vAlign w:val="center"/>
                </w:tcPr>
                <w:p w14:paraId="044B555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无组织</w:t>
                  </w:r>
                </w:p>
              </w:tc>
              <w:tc>
                <w:tcPr>
                  <w:tcW w:w="692" w:type="pct"/>
                  <w:tcBorders>
                    <w:tl2br w:val="nil"/>
                    <w:tr2bl w:val="nil"/>
                  </w:tcBorders>
                  <w:shd w:val="clear" w:color="auto" w:fill="auto"/>
                  <w:vAlign w:val="center"/>
                </w:tcPr>
                <w:p w14:paraId="16B3CEB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颗粒物、非甲烷总烃</w:t>
                  </w:r>
                </w:p>
              </w:tc>
              <w:tc>
                <w:tcPr>
                  <w:tcW w:w="1498" w:type="pct"/>
                  <w:tcBorders>
                    <w:tl2br w:val="nil"/>
                    <w:tr2bl w:val="nil"/>
                  </w:tcBorders>
                  <w:shd w:val="clear" w:color="auto" w:fill="auto"/>
                  <w:vAlign w:val="center"/>
                </w:tcPr>
                <w:p w14:paraId="5234E9A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宋体"/>
                      <w:color w:val="auto"/>
                      <w:szCs w:val="21"/>
                    </w:rPr>
                    <w:t>加强通风</w:t>
                  </w:r>
                </w:p>
              </w:tc>
              <w:tc>
                <w:tcPr>
                  <w:tcW w:w="1511" w:type="pct"/>
                  <w:tcBorders>
                    <w:tl2br w:val="nil"/>
                    <w:tr2bl w:val="nil"/>
                  </w:tcBorders>
                  <w:shd w:val="clear" w:color="auto" w:fill="auto"/>
                  <w:vAlign w:val="center"/>
                </w:tcPr>
                <w:p w14:paraId="4C2E2E6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宋体"/>
                      <w:color w:val="auto"/>
                      <w:szCs w:val="21"/>
                    </w:rPr>
                    <w:t>加强通风</w:t>
                  </w:r>
                </w:p>
              </w:tc>
            </w:tr>
            <w:tr w14:paraId="5FD7B0B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2" w:type="pct"/>
                  <w:tcBorders>
                    <w:tl2br w:val="nil"/>
                    <w:tr2bl w:val="nil"/>
                  </w:tcBorders>
                  <w:shd w:val="clear" w:color="auto" w:fill="auto"/>
                  <w:vAlign w:val="center"/>
                </w:tcPr>
                <w:p w14:paraId="1CBAECA2">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废水</w:t>
                  </w:r>
                </w:p>
              </w:tc>
              <w:tc>
                <w:tcPr>
                  <w:tcW w:w="954" w:type="pct"/>
                  <w:gridSpan w:val="2"/>
                  <w:tcBorders>
                    <w:tl2br w:val="nil"/>
                    <w:tr2bl w:val="nil"/>
                  </w:tcBorders>
                  <w:shd w:val="clear" w:color="auto" w:fill="auto"/>
                  <w:vAlign w:val="center"/>
                </w:tcPr>
                <w:p w14:paraId="580DE26A">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生活废水</w:t>
                  </w:r>
                </w:p>
              </w:tc>
              <w:tc>
                <w:tcPr>
                  <w:tcW w:w="692" w:type="pct"/>
                  <w:tcBorders>
                    <w:tl2br w:val="nil"/>
                    <w:tr2bl w:val="nil"/>
                  </w:tcBorders>
                  <w:shd w:val="clear" w:color="auto" w:fill="auto"/>
                  <w:vAlign w:val="center"/>
                </w:tcPr>
                <w:p w14:paraId="268364FB">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pH</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COD</w:t>
                  </w:r>
                  <w:r>
                    <w:rPr>
                      <w:rFonts w:hint="default" w:ascii="Times New Roman" w:hAnsi="Times New Roman" w:eastAsia="宋体" w:cs="Times New Roman"/>
                      <w:color w:val="auto"/>
                      <w:kern w:val="2"/>
                      <w:sz w:val="21"/>
                      <w:szCs w:val="21"/>
                      <w:highlight w:val="none"/>
                      <w:vertAlign w:val="subscript"/>
                      <w:lang w:val="en-US" w:eastAsia="zh-CN" w:bidi="ar-SA"/>
                    </w:rPr>
                    <w:t>Cr</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BOD</w:t>
                  </w:r>
                  <w:r>
                    <w:rPr>
                      <w:rFonts w:hint="default" w:ascii="Times New Roman" w:hAnsi="Times New Roman" w:eastAsia="宋体" w:cs="Times New Roman"/>
                      <w:color w:val="auto"/>
                      <w:kern w:val="2"/>
                      <w:sz w:val="21"/>
                      <w:szCs w:val="21"/>
                      <w:highlight w:val="none"/>
                      <w:vertAlign w:val="subscript"/>
                      <w:lang w:val="en-US" w:eastAsia="zh-CN" w:bidi="ar-SA"/>
                    </w:rPr>
                    <w:t>5</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SS</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NH</w:t>
                  </w:r>
                  <w:r>
                    <w:rPr>
                      <w:rFonts w:hint="default" w:ascii="Times New Roman" w:hAnsi="Times New Roman" w:eastAsia="宋体" w:cs="Times New Roman"/>
                      <w:color w:val="auto"/>
                      <w:kern w:val="2"/>
                      <w:sz w:val="21"/>
                      <w:szCs w:val="21"/>
                      <w:highlight w:val="none"/>
                      <w:vertAlign w:val="subscript"/>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-N</w:t>
                  </w:r>
                  <w:r>
                    <w:rPr>
                      <w:rFonts w:hint="eastAsia" w:cs="Times New Roman"/>
                      <w:color w:val="auto"/>
                      <w:kern w:val="2"/>
                      <w:sz w:val="21"/>
                      <w:szCs w:val="21"/>
                      <w:highlight w:val="none"/>
                      <w:lang w:val="en-US" w:eastAsia="zh-CN" w:bidi="ar-SA"/>
                    </w:rPr>
                    <w:t>、TP、动植物油</w:t>
                  </w:r>
                </w:p>
              </w:tc>
              <w:tc>
                <w:tcPr>
                  <w:tcW w:w="1498" w:type="pct"/>
                  <w:tcBorders>
                    <w:tl2br w:val="nil"/>
                    <w:tr2bl w:val="nil"/>
                  </w:tcBorders>
                  <w:shd w:val="clear" w:color="auto" w:fill="auto"/>
                  <w:vAlign w:val="center"/>
                </w:tcPr>
                <w:p w14:paraId="77F88A6A">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隔油池+</w:t>
                  </w:r>
                  <w:r>
                    <w:rPr>
                      <w:rFonts w:hint="eastAsia" w:ascii="Times New Roman" w:hAnsi="Times New Roman" w:eastAsia="宋体" w:cs="Times New Roman"/>
                      <w:color w:val="auto"/>
                      <w:kern w:val="2"/>
                      <w:sz w:val="21"/>
                      <w:szCs w:val="21"/>
                      <w:highlight w:val="none"/>
                      <w:lang w:val="en-US" w:eastAsia="zh-CN" w:bidi="ar-SA"/>
                    </w:rPr>
                    <w:t>化粪池处理</w:t>
                  </w:r>
                </w:p>
              </w:tc>
              <w:tc>
                <w:tcPr>
                  <w:tcW w:w="1511" w:type="pct"/>
                  <w:tcBorders>
                    <w:tl2br w:val="nil"/>
                    <w:tr2bl w:val="nil"/>
                  </w:tcBorders>
                  <w:shd w:val="clear" w:color="auto" w:fill="auto"/>
                  <w:vAlign w:val="center"/>
                </w:tcPr>
                <w:p w14:paraId="0F3C5FF9">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化粪池处理</w:t>
                  </w:r>
                </w:p>
              </w:tc>
            </w:tr>
            <w:tr w14:paraId="52F9A37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342" w:type="pct"/>
                  <w:tcBorders>
                    <w:tl2br w:val="nil"/>
                    <w:tr2bl w:val="nil"/>
                  </w:tcBorders>
                  <w:shd w:val="clear" w:color="auto" w:fill="auto"/>
                  <w:vAlign w:val="center"/>
                </w:tcPr>
                <w:p w14:paraId="4CC41DE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噪声</w:t>
                  </w:r>
                </w:p>
              </w:tc>
              <w:tc>
                <w:tcPr>
                  <w:tcW w:w="954" w:type="pct"/>
                  <w:gridSpan w:val="2"/>
                  <w:tcBorders>
                    <w:tl2br w:val="nil"/>
                    <w:tr2bl w:val="nil"/>
                  </w:tcBorders>
                  <w:shd w:val="clear" w:color="auto" w:fill="auto"/>
                  <w:vAlign w:val="center"/>
                </w:tcPr>
                <w:p w14:paraId="55C2B23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生产设备</w:t>
                  </w:r>
                </w:p>
              </w:tc>
              <w:tc>
                <w:tcPr>
                  <w:tcW w:w="692" w:type="pct"/>
                  <w:tcBorders>
                    <w:tl2br w:val="nil"/>
                    <w:tr2bl w:val="nil"/>
                  </w:tcBorders>
                  <w:shd w:val="clear" w:color="auto" w:fill="auto"/>
                  <w:vAlign w:val="center"/>
                </w:tcPr>
                <w:p w14:paraId="0F8B4126">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噪声</w:t>
                  </w:r>
                </w:p>
              </w:tc>
              <w:tc>
                <w:tcPr>
                  <w:tcW w:w="1498" w:type="pct"/>
                  <w:tcBorders>
                    <w:tl2br w:val="nil"/>
                    <w:tr2bl w:val="nil"/>
                  </w:tcBorders>
                  <w:shd w:val="clear" w:color="auto" w:fill="auto"/>
                  <w:vAlign w:val="center"/>
                </w:tcPr>
                <w:p w14:paraId="5137B6FE">
                  <w:pPr>
                    <w:keepNext w:val="0"/>
                    <w:keepLines w:val="0"/>
                    <w:widowControl/>
                    <w:suppressLineNumbers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低噪设备、减振降噪、墙壁隔声、厂界绿化等</w:t>
                  </w:r>
                </w:p>
              </w:tc>
              <w:tc>
                <w:tcPr>
                  <w:tcW w:w="1511" w:type="pct"/>
                  <w:tcBorders>
                    <w:tl2br w:val="nil"/>
                    <w:tr2bl w:val="nil"/>
                  </w:tcBorders>
                  <w:shd w:val="clear" w:color="auto" w:fill="auto"/>
                  <w:vAlign w:val="center"/>
                </w:tcPr>
                <w:p w14:paraId="22145E67">
                  <w:pPr>
                    <w:widowControl/>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低噪设备、减振降噪、墙壁隔声、厂界绿化等</w:t>
                  </w:r>
                </w:p>
              </w:tc>
            </w:tr>
            <w:tr w14:paraId="0B58F51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2" w:type="pct"/>
                  <w:vMerge w:val="restart"/>
                  <w:tcBorders>
                    <w:tl2br w:val="nil"/>
                    <w:tr2bl w:val="nil"/>
                  </w:tcBorders>
                  <w:shd w:val="clear" w:color="auto" w:fill="auto"/>
                  <w:vAlign w:val="center"/>
                </w:tcPr>
                <w:p w14:paraId="2F178692">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固体废物</w:t>
                  </w:r>
                </w:p>
              </w:tc>
              <w:tc>
                <w:tcPr>
                  <w:tcW w:w="954" w:type="pct"/>
                  <w:gridSpan w:val="2"/>
                  <w:vMerge w:val="restart"/>
                  <w:tcBorders>
                    <w:tl2br w:val="nil"/>
                    <w:tr2bl w:val="nil"/>
                  </w:tcBorders>
                  <w:shd w:val="clear" w:color="auto" w:fill="auto"/>
                  <w:vAlign w:val="center"/>
                </w:tcPr>
                <w:p w14:paraId="7818474D">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生产生活</w:t>
                  </w:r>
                </w:p>
              </w:tc>
              <w:tc>
                <w:tcPr>
                  <w:tcW w:w="692" w:type="pct"/>
                  <w:tcBorders>
                    <w:tl2br w:val="nil"/>
                    <w:tr2bl w:val="nil"/>
                  </w:tcBorders>
                  <w:shd w:val="clear" w:color="auto" w:fill="auto"/>
                  <w:vAlign w:val="center"/>
                </w:tcPr>
                <w:p w14:paraId="7909E27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一般固废</w:t>
                  </w:r>
                </w:p>
              </w:tc>
              <w:tc>
                <w:tcPr>
                  <w:tcW w:w="1498" w:type="pct"/>
                  <w:tcBorders>
                    <w:tl2br w:val="nil"/>
                    <w:tr2bl w:val="nil"/>
                  </w:tcBorders>
                  <w:shd w:val="clear" w:color="auto" w:fill="auto"/>
                  <w:vAlign w:val="center"/>
                </w:tcPr>
                <w:p w14:paraId="7F94D820">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废边角料、焊渣、废钢丸、布袋除尘器收集的抛丸粉尘、布袋除尘器收集的喷塑粉尘、收集的金属粉尘、废布袋、废一般包装材料、沉渣统一</w:t>
                  </w:r>
                  <w:r>
                    <w:rPr>
                      <w:color w:val="auto"/>
                      <w:szCs w:val="21"/>
                    </w:rPr>
                    <w:t>收集后暂存于一般工业固废暂存</w:t>
                  </w:r>
                  <w:r>
                    <w:rPr>
                      <w:rFonts w:hint="eastAsia"/>
                      <w:color w:val="auto"/>
                      <w:szCs w:val="21"/>
                    </w:rPr>
                    <w:t>间（</w:t>
                  </w:r>
                  <w:r>
                    <w:rPr>
                      <w:rFonts w:hint="eastAsia"/>
                      <w:color w:val="auto"/>
                      <w:szCs w:val="21"/>
                      <w:lang w:val="en-US" w:eastAsia="zh-CN"/>
                    </w:rPr>
                    <w:t>200</w:t>
                  </w:r>
                  <w:r>
                    <w:rPr>
                      <w:rFonts w:hint="eastAsia"/>
                      <w:color w:val="auto"/>
                      <w:szCs w:val="21"/>
                    </w:rPr>
                    <w:t>m</w:t>
                  </w:r>
                  <w:r>
                    <w:rPr>
                      <w:rFonts w:hint="eastAsia"/>
                      <w:color w:val="auto"/>
                      <w:szCs w:val="21"/>
                      <w:vertAlign w:val="superscript"/>
                    </w:rPr>
                    <w:t>2</w:t>
                  </w:r>
                  <w:r>
                    <w:rPr>
                      <w:rFonts w:hint="eastAsia"/>
                      <w:color w:val="auto"/>
                      <w:szCs w:val="21"/>
                    </w:rPr>
                    <w:t>）</w:t>
                  </w:r>
                  <w:r>
                    <w:rPr>
                      <w:rFonts w:hint="eastAsia"/>
                      <w:color w:val="auto"/>
                      <w:szCs w:val="21"/>
                      <w:lang w:eastAsia="zh-CN"/>
                    </w:rPr>
                    <w:t>外售处理</w:t>
                  </w:r>
                </w:p>
              </w:tc>
              <w:tc>
                <w:tcPr>
                  <w:tcW w:w="1511" w:type="pct"/>
                  <w:tcBorders>
                    <w:tl2br w:val="nil"/>
                    <w:tr2bl w:val="nil"/>
                  </w:tcBorders>
                  <w:shd w:val="clear" w:color="auto" w:fill="auto"/>
                  <w:vAlign w:val="center"/>
                </w:tcPr>
                <w:p w14:paraId="15267152">
                  <w:pPr>
                    <w:jc w:val="both"/>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废边角料、焊渣、废钢丸、</w:t>
                  </w:r>
                </w:p>
                <w:p w14:paraId="23A2C081">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布袋除尘器收集的抛丸粉尘、布袋除尘器收集的喷塑粉尘、收集的金属粉尘、废布袋、废一般包装材料、沉渣统一</w:t>
                  </w:r>
                  <w:r>
                    <w:rPr>
                      <w:color w:val="auto"/>
                      <w:szCs w:val="21"/>
                    </w:rPr>
                    <w:t>收集后暂存于一般工业固废暂存</w:t>
                  </w:r>
                  <w:r>
                    <w:rPr>
                      <w:rFonts w:hint="eastAsia"/>
                      <w:color w:val="auto"/>
                      <w:szCs w:val="21"/>
                    </w:rPr>
                    <w:t>间（</w:t>
                  </w:r>
                  <w:r>
                    <w:rPr>
                      <w:rFonts w:hint="eastAsia"/>
                      <w:color w:val="auto"/>
                      <w:szCs w:val="21"/>
                      <w:lang w:val="en-US" w:eastAsia="zh-CN"/>
                    </w:rPr>
                    <w:t>200</w:t>
                  </w:r>
                  <w:r>
                    <w:rPr>
                      <w:rFonts w:hint="eastAsia"/>
                      <w:color w:val="auto"/>
                      <w:szCs w:val="21"/>
                    </w:rPr>
                    <w:t>m</w:t>
                  </w:r>
                  <w:r>
                    <w:rPr>
                      <w:rFonts w:hint="eastAsia"/>
                      <w:color w:val="auto"/>
                      <w:szCs w:val="21"/>
                      <w:vertAlign w:val="superscript"/>
                    </w:rPr>
                    <w:t>2</w:t>
                  </w:r>
                  <w:r>
                    <w:rPr>
                      <w:rFonts w:hint="eastAsia"/>
                      <w:color w:val="auto"/>
                      <w:szCs w:val="21"/>
                    </w:rPr>
                    <w:t>）</w:t>
                  </w:r>
                  <w:r>
                    <w:rPr>
                      <w:rFonts w:hint="eastAsia"/>
                      <w:color w:val="auto"/>
                      <w:szCs w:val="21"/>
                      <w:lang w:eastAsia="zh-CN"/>
                    </w:rPr>
                    <w:t>外售处理</w:t>
                  </w:r>
                </w:p>
              </w:tc>
            </w:tr>
            <w:tr w14:paraId="5D6E7FD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2" w:type="pct"/>
                  <w:vMerge w:val="continue"/>
                  <w:tcBorders>
                    <w:tl2br w:val="nil"/>
                    <w:tr2bl w:val="nil"/>
                  </w:tcBorders>
                  <w:shd w:val="clear" w:color="auto" w:fill="auto"/>
                  <w:vAlign w:val="center"/>
                </w:tcPr>
                <w:p w14:paraId="40B9C03C">
                  <w:pPr>
                    <w:jc w:val="center"/>
                    <w:rPr>
                      <w:rFonts w:hint="eastAsia" w:ascii="Times New Roman" w:hAnsi="Times New Roman" w:eastAsia="宋体" w:cs="Times New Roman"/>
                      <w:color w:val="auto"/>
                      <w:kern w:val="2"/>
                      <w:sz w:val="21"/>
                      <w:szCs w:val="21"/>
                      <w:highlight w:val="none"/>
                      <w:lang w:val="en-US" w:eastAsia="zh-CN" w:bidi="ar-SA"/>
                    </w:rPr>
                  </w:pPr>
                </w:p>
              </w:tc>
              <w:tc>
                <w:tcPr>
                  <w:tcW w:w="954" w:type="pct"/>
                  <w:gridSpan w:val="2"/>
                  <w:vMerge w:val="continue"/>
                  <w:tcBorders>
                    <w:tl2br w:val="nil"/>
                    <w:tr2bl w:val="nil"/>
                  </w:tcBorders>
                  <w:shd w:val="clear" w:color="auto" w:fill="auto"/>
                  <w:vAlign w:val="center"/>
                </w:tcPr>
                <w:p w14:paraId="097F0DBC">
                  <w:pPr>
                    <w:jc w:val="center"/>
                    <w:rPr>
                      <w:rFonts w:hint="eastAsia" w:ascii="Times New Roman" w:hAnsi="Times New Roman" w:eastAsia="宋体" w:cs="Times New Roman"/>
                      <w:color w:val="auto"/>
                      <w:kern w:val="2"/>
                      <w:sz w:val="21"/>
                      <w:szCs w:val="21"/>
                      <w:highlight w:val="none"/>
                      <w:lang w:val="en-US" w:eastAsia="zh-CN" w:bidi="ar-SA"/>
                    </w:rPr>
                  </w:pPr>
                </w:p>
              </w:tc>
              <w:tc>
                <w:tcPr>
                  <w:tcW w:w="692" w:type="pct"/>
                  <w:tcBorders>
                    <w:tl2br w:val="nil"/>
                    <w:tr2bl w:val="nil"/>
                  </w:tcBorders>
                  <w:shd w:val="clear" w:color="auto" w:fill="auto"/>
                  <w:vAlign w:val="center"/>
                </w:tcPr>
                <w:p w14:paraId="2B06439B">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危险固废</w:t>
                  </w:r>
                </w:p>
              </w:tc>
              <w:tc>
                <w:tcPr>
                  <w:tcW w:w="1498" w:type="pct"/>
                  <w:tcBorders>
                    <w:tl2br w:val="nil"/>
                    <w:tr2bl w:val="nil"/>
                  </w:tcBorders>
                  <w:shd w:val="clear" w:color="auto" w:fill="auto"/>
                  <w:vAlign w:val="center"/>
                </w:tcPr>
                <w:p w14:paraId="72CA25D3">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废活性炭</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废润滑油</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废液压油</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废油桶</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废抹布及手套</w:t>
                  </w:r>
                  <w:r>
                    <w:rPr>
                      <w:color w:val="auto"/>
                      <w:szCs w:val="21"/>
                    </w:rPr>
                    <w:t>暂存于危废暂存</w:t>
                  </w:r>
                  <w:r>
                    <w:rPr>
                      <w:rFonts w:hint="eastAsia"/>
                      <w:color w:val="auto"/>
                      <w:szCs w:val="21"/>
                    </w:rPr>
                    <w:t>间（</w:t>
                  </w:r>
                  <w:r>
                    <w:rPr>
                      <w:rFonts w:hint="eastAsia"/>
                      <w:color w:val="auto"/>
                      <w:szCs w:val="21"/>
                      <w:lang w:val="en-US" w:eastAsia="zh-CN"/>
                    </w:rPr>
                    <w:t>10</w:t>
                  </w:r>
                  <w:r>
                    <w:rPr>
                      <w:rFonts w:hint="eastAsia"/>
                      <w:color w:val="auto"/>
                      <w:szCs w:val="21"/>
                    </w:rPr>
                    <w:t>m</w:t>
                  </w:r>
                  <w:r>
                    <w:rPr>
                      <w:rFonts w:hint="eastAsia"/>
                      <w:color w:val="auto"/>
                      <w:szCs w:val="21"/>
                      <w:vertAlign w:val="superscript"/>
                    </w:rPr>
                    <w:t>2</w:t>
                  </w:r>
                  <w:r>
                    <w:rPr>
                      <w:rFonts w:hint="eastAsia"/>
                      <w:color w:val="auto"/>
                      <w:szCs w:val="21"/>
                    </w:rPr>
                    <w:t>）</w:t>
                  </w:r>
                  <w:r>
                    <w:rPr>
                      <w:color w:val="auto"/>
                      <w:szCs w:val="21"/>
                    </w:rPr>
                    <w:t>定期交由有资质单位处理</w:t>
                  </w:r>
                </w:p>
              </w:tc>
              <w:tc>
                <w:tcPr>
                  <w:tcW w:w="1511" w:type="pct"/>
                  <w:tcBorders>
                    <w:tl2br w:val="nil"/>
                    <w:tr2bl w:val="nil"/>
                  </w:tcBorders>
                  <w:shd w:val="clear" w:color="auto" w:fill="auto"/>
                  <w:vAlign w:val="center"/>
                </w:tcPr>
                <w:p w14:paraId="50F48B7A">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废活性炭</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废润滑油</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废液压油</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废油桶</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废抹布及手套</w:t>
                  </w:r>
                  <w:r>
                    <w:rPr>
                      <w:color w:val="auto"/>
                      <w:szCs w:val="21"/>
                    </w:rPr>
                    <w:t>暂存于危废暂存</w:t>
                  </w:r>
                  <w:r>
                    <w:rPr>
                      <w:rFonts w:hint="eastAsia"/>
                      <w:color w:val="auto"/>
                      <w:szCs w:val="21"/>
                    </w:rPr>
                    <w:t>间（</w:t>
                  </w:r>
                  <w:r>
                    <w:rPr>
                      <w:rFonts w:hint="eastAsia"/>
                      <w:color w:val="auto"/>
                      <w:szCs w:val="21"/>
                      <w:lang w:val="en-US" w:eastAsia="zh-CN"/>
                    </w:rPr>
                    <w:t>10</w:t>
                  </w:r>
                  <w:r>
                    <w:rPr>
                      <w:rFonts w:hint="eastAsia"/>
                      <w:color w:val="auto"/>
                      <w:szCs w:val="21"/>
                    </w:rPr>
                    <w:t>m</w:t>
                  </w:r>
                  <w:r>
                    <w:rPr>
                      <w:rFonts w:hint="eastAsia"/>
                      <w:color w:val="auto"/>
                      <w:szCs w:val="21"/>
                      <w:vertAlign w:val="superscript"/>
                    </w:rPr>
                    <w:t>2</w:t>
                  </w:r>
                  <w:r>
                    <w:rPr>
                      <w:rFonts w:hint="eastAsia"/>
                      <w:color w:val="auto"/>
                      <w:szCs w:val="21"/>
                    </w:rPr>
                    <w:t>）</w:t>
                  </w:r>
                  <w:r>
                    <w:rPr>
                      <w:color w:val="auto"/>
                      <w:szCs w:val="21"/>
                    </w:rPr>
                    <w:t>定期交由有资质单位处理</w:t>
                  </w:r>
                </w:p>
              </w:tc>
            </w:tr>
            <w:tr w14:paraId="2B8654C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2" w:type="pct"/>
                  <w:vMerge w:val="continue"/>
                  <w:tcBorders>
                    <w:tl2br w:val="nil"/>
                    <w:tr2bl w:val="nil"/>
                  </w:tcBorders>
                  <w:shd w:val="clear" w:color="auto" w:fill="auto"/>
                  <w:vAlign w:val="center"/>
                </w:tcPr>
                <w:p w14:paraId="4E0660E2">
                  <w:pPr>
                    <w:jc w:val="center"/>
                    <w:rPr>
                      <w:rFonts w:hint="eastAsia" w:ascii="Times New Roman" w:hAnsi="Times New Roman" w:eastAsia="宋体" w:cs="Times New Roman"/>
                      <w:color w:val="auto"/>
                      <w:kern w:val="2"/>
                      <w:sz w:val="21"/>
                      <w:szCs w:val="21"/>
                      <w:highlight w:val="none"/>
                      <w:lang w:val="en-US" w:eastAsia="zh-CN" w:bidi="ar-SA"/>
                    </w:rPr>
                  </w:pPr>
                </w:p>
              </w:tc>
              <w:tc>
                <w:tcPr>
                  <w:tcW w:w="954" w:type="pct"/>
                  <w:gridSpan w:val="2"/>
                  <w:vMerge w:val="continue"/>
                  <w:tcBorders>
                    <w:tl2br w:val="nil"/>
                    <w:tr2bl w:val="nil"/>
                  </w:tcBorders>
                  <w:shd w:val="clear" w:color="auto" w:fill="auto"/>
                  <w:vAlign w:val="center"/>
                </w:tcPr>
                <w:p w14:paraId="0A35D0C9">
                  <w:pPr>
                    <w:jc w:val="center"/>
                    <w:rPr>
                      <w:rFonts w:hint="eastAsia" w:ascii="Times New Roman" w:hAnsi="Times New Roman" w:eastAsia="宋体" w:cs="Times New Roman"/>
                      <w:color w:val="auto"/>
                      <w:kern w:val="2"/>
                      <w:sz w:val="21"/>
                      <w:szCs w:val="21"/>
                      <w:highlight w:val="none"/>
                      <w:lang w:val="en-US" w:eastAsia="zh-CN" w:bidi="ar-SA"/>
                    </w:rPr>
                  </w:pPr>
                </w:p>
              </w:tc>
              <w:tc>
                <w:tcPr>
                  <w:tcW w:w="692" w:type="pct"/>
                  <w:tcBorders>
                    <w:tl2br w:val="nil"/>
                    <w:tr2bl w:val="nil"/>
                  </w:tcBorders>
                  <w:shd w:val="clear" w:color="auto" w:fill="auto"/>
                  <w:vAlign w:val="center"/>
                </w:tcPr>
                <w:p w14:paraId="212A23C0">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生活垃圾</w:t>
                  </w:r>
                </w:p>
              </w:tc>
              <w:tc>
                <w:tcPr>
                  <w:tcW w:w="1498" w:type="pct"/>
                  <w:tcBorders>
                    <w:tl2br w:val="nil"/>
                    <w:tr2bl w:val="nil"/>
                  </w:tcBorders>
                  <w:shd w:val="clear" w:color="auto" w:fill="auto"/>
                  <w:vAlign w:val="center"/>
                </w:tcPr>
                <w:p w14:paraId="25F9603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收集后由当地环卫部门统一清运处理</w:t>
                  </w:r>
                </w:p>
              </w:tc>
              <w:tc>
                <w:tcPr>
                  <w:tcW w:w="1511" w:type="pct"/>
                  <w:tcBorders>
                    <w:tl2br w:val="nil"/>
                    <w:tr2bl w:val="nil"/>
                  </w:tcBorders>
                  <w:shd w:val="clear" w:color="auto" w:fill="auto"/>
                  <w:vAlign w:val="center"/>
                </w:tcPr>
                <w:p w14:paraId="1AA26E1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收集后由当地环卫部门统一清运处理</w:t>
                  </w:r>
                </w:p>
              </w:tc>
            </w:tr>
          </w:tbl>
          <w:p w14:paraId="5B9F8859">
            <w:pPr>
              <w:spacing w:line="360" w:lineRule="auto"/>
              <w:jc w:val="left"/>
              <w:rPr>
                <w:b/>
                <w:bCs/>
                <w:color w:val="auto"/>
                <w:sz w:val="24"/>
              </w:rPr>
            </w:pPr>
            <w:r>
              <w:rPr>
                <w:rFonts w:hint="eastAsia"/>
                <w:b/>
                <w:bCs/>
                <w:color w:val="auto"/>
                <w:sz w:val="24"/>
              </w:rPr>
              <w:t>3.1污染物来源</w:t>
            </w:r>
          </w:p>
          <w:p w14:paraId="6D33BEF0">
            <w:pPr>
              <w:spacing w:line="360" w:lineRule="auto"/>
              <w:jc w:val="left"/>
              <w:rPr>
                <w:b/>
                <w:bCs/>
                <w:color w:val="auto"/>
                <w:sz w:val="24"/>
              </w:rPr>
            </w:pPr>
            <w:r>
              <w:rPr>
                <w:rFonts w:hint="eastAsia"/>
                <w:b/>
                <w:bCs/>
                <w:color w:val="auto"/>
                <w:sz w:val="24"/>
              </w:rPr>
              <w:t>3.1.1废水污染源、污染物及其排放情况</w:t>
            </w:r>
          </w:p>
          <w:p w14:paraId="7E7B6B44">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bCs/>
                <w:color w:val="auto"/>
                <w:sz w:val="24"/>
                <w:szCs w:val="24"/>
                <w:lang w:val="en-US" w:eastAsia="zh-CN"/>
              </w:rPr>
            </w:pPr>
            <w:r>
              <w:rPr>
                <w:rFonts w:hint="eastAsia"/>
                <w:color w:val="auto"/>
                <w:sz w:val="24"/>
                <w:szCs w:val="24"/>
                <w:highlight w:val="none"/>
              </w:rPr>
              <w:t>本项目运营期</w:t>
            </w:r>
            <w:r>
              <w:rPr>
                <w:color w:val="auto"/>
                <w:sz w:val="24"/>
              </w:rPr>
              <w:t>无生产废水外排</w:t>
            </w:r>
            <w:r>
              <w:rPr>
                <w:rFonts w:hint="default" w:ascii="Times New Roman" w:hAnsi="Times New Roman" w:eastAsia="宋体" w:cs="Times New Roman"/>
                <w:bCs/>
                <w:color w:val="auto"/>
                <w:sz w:val="24"/>
                <w:szCs w:val="24"/>
                <w:lang w:eastAsia="zh-CN"/>
              </w:rPr>
              <w:t>，</w:t>
            </w:r>
            <w:r>
              <w:rPr>
                <w:rFonts w:hint="default" w:ascii="Times New Roman" w:hAnsi="Times New Roman" w:eastAsia="宋体" w:cs="Times New Roman"/>
                <w:bCs/>
                <w:color w:val="auto"/>
                <w:sz w:val="24"/>
                <w:szCs w:val="24"/>
                <w:lang w:val="en-US" w:eastAsia="zh-CN"/>
              </w:rPr>
              <w:t>生活污水经化粪池处理</w:t>
            </w:r>
            <w:r>
              <w:rPr>
                <w:rFonts w:hint="eastAsia" w:cs="Times New Roman"/>
                <w:bCs/>
                <w:color w:val="auto"/>
                <w:sz w:val="24"/>
                <w:szCs w:val="24"/>
                <w:lang w:val="en-US" w:eastAsia="zh-CN"/>
              </w:rPr>
              <w:t>达到</w:t>
            </w:r>
            <w:r>
              <w:rPr>
                <w:rFonts w:hint="eastAsia"/>
                <w:color w:val="auto"/>
                <w:sz w:val="24"/>
                <w:szCs w:val="24"/>
                <w:lang w:eastAsia="zh-CN"/>
              </w:rPr>
              <w:t>武阳创业园污水处理厂接管标准和《污水综合排放标准》（</w:t>
            </w:r>
            <w:r>
              <w:rPr>
                <w:rFonts w:hint="eastAsia"/>
                <w:color w:val="auto"/>
                <w:sz w:val="24"/>
                <w:szCs w:val="24"/>
                <w:lang w:val="en-US" w:eastAsia="zh-CN"/>
              </w:rPr>
              <w:t>GB8978-1996</w:t>
            </w:r>
            <w:r>
              <w:rPr>
                <w:rFonts w:hint="eastAsia"/>
                <w:color w:val="auto"/>
                <w:sz w:val="24"/>
                <w:szCs w:val="24"/>
                <w:lang w:eastAsia="zh-CN"/>
              </w:rPr>
              <w:t>）表</w:t>
            </w:r>
            <w:r>
              <w:rPr>
                <w:rFonts w:hint="eastAsia"/>
                <w:color w:val="auto"/>
                <w:sz w:val="24"/>
                <w:szCs w:val="24"/>
                <w:lang w:val="en-US" w:eastAsia="zh-CN"/>
              </w:rPr>
              <w:t>4中三级标准</w:t>
            </w:r>
            <w:r>
              <w:rPr>
                <w:rFonts w:hint="default" w:ascii="Times New Roman" w:hAnsi="Times New Roman" w:eastAsia="宋体" w:cs="Times New Roman"/>
                <w:bCs/>
                <w:color w:val="auto"/>
                <w:sz w:val="24"/>
                <w:szCs w:val="24"/>
                <w:lang w:val="en-US" w:eastAsia="zh-CN"/>
              </w:rPr>
              <w:t>后通过园区污水管网入武阳创业园污水处理厂深度处理，武阳创业园污水处理厂处理达标后尾水排入清丰山溪。</w:t>
            </w:r>
          </w:p>
          <w:p w14:paraId="488529CB">
            <w:pPr>
              <w:keepNext w:val="0"/>
              <w:keepLines w:val="0"/>
              <w:pageBreakBefore w:val="0"/>
              <w:widowControl w:val="0"/>
              <w:kinsoku/>
              <w:wordWrap/>
              <w:overflowPunct/>
              <w:topLinePunct w:val="0"/>
              <w:autoSpaceDE/>
              <w:autoSpaceDN/>
              <w:bidi w:val="0"/>
              <w:spacing w:line="360" w:lineRule="auto"/>
              <w:jc w:val="left"/>
              <w:textAlignment w:val="auto"/>
              <w:rPr>
                <w:b/>
                <w:bCs/>
                <w:color w:val="auto"/>
                <w:sz w:val="24"/>
                <w:szCs w:val="24"/>
              </w:rPr>
            </w:pPr>
            <w:r>
              <w:rPr>
                <w:rFonts w:hint="eastAsia"/>
                <w:b/>
                <w:bCs/>
                <w:color w:val="auto"/>
                <w:sz w:val="24"/>
              </w:rPr>
              <w:t>3.1.2</w:t>
            </w:r>
            <w:r>
              <w:rPr>
                <w:rFonts w:hint="eastAsia"/>
                <w:b/>
                <w:bCs/>
                <w:color w:val="auto"/>
                <w:sz w:val="24"/>
                <w:szCs w:val="24"/>
              </w:rPr>
              <w:t>废气污染源、污染物及其处理和排放流程</w:t>
            </w:r>
          </w:p>
          <w:p w14:paraId="40D5EEA7">
            <w:pPr>
              <w:adjustRightInd w:val="0"/>
              <w:snapToGrid w:val="0"/>
              <w:spacing w:line="360" w:lineRule="auto"/>
              <w:ind w:firstLine="480" w:firstLineChars="200"/>
              <w:rPr>
                <w:rFonts w:hint="eastAsia" w:eastAsia="宋体"/>
                <w:color w:val="auto"/>
                <w:sz w:val="24"/>
                <w:szCs w:val="24"/>
                <w:lang w:eastAsia="zh-CN"/>
              </w:rPr>
            </w:pPr>
            <w:r>
              <w:rPr>
                <w:rFonts w:hint="eastAsia"/>
                <w:color w:val="auto"/>
                <w:sz w:val="24"/>
                <w:szCs w:val="24"/>
              </w:rPr>
              <w:t>项目营运期废气主要为铣边金属粉尘、焊接烟尘、抛丸粉尘、喷塑粉尘及胶带和PE带缠绕工序产生的有机废气等</w:t>
            </w:r>
            <w:r>
              <w:rPr>
                <w:rFonts w:hint="eastAsia"/>
                <w:color w:val="auto"/>
                <w:sz w:val="24"/>
                <w:szCs w:val="24"/>
                <w:lang w:eastAsia="zh-CN"/>
              </w:rPr>
              <w:t>。</w:t>
            </w:r>
          </w:p>
          <w:p w14:paraId="6677A160">
            <w:pPr>
              <w:adjustRightInd w:val="0"/>
              <w:snapToGrid w:val="0"/>
              <w:spacing w:line="360" w:lineRule="auto"/>
              <w:ind w:firstLine="480" w:firstLineChars="200"/>
              <w:jc w:val="both"/>
              <w:rPr>
                <w:rFonts w:hint="eastAsia"/>
                <w:color w:val="auto"/>
                <w:sz w:val="24"/>
                <w:szCs w:val="24"/>
              </w:rPr>
            </w:pPr>
            <w:r>
              <w:rPr>
                <w:rFonts w:hint="eastAsia"/>
                <w:color w:val="auto"/>
                <w:sz w:val="24"/>
                <w:szCs w:val="24"/>
                <w:lang w:eastAsia="zh-CN"/>
              </w:rPr>
              <w:t>圆盘剪铣边、飞剪、平头倒棱金属粉尘采用防尘挡板、自然沉降作无组织排放；焊接烟尘经布袋除尘器（TA001）+1根20m排气筒（DA001）排放；抛丸粉尘经设备自带布袋除尘器（TA002）+1根20m排气筒（DA002）排放；喷塑废气及胶带、PE带缠绕有机废气经布袋除尘器（TA003）去除喷塑粉尘后与胶带、PE带缠绕有机废气并引入1套二级活性炭吸附装置（TA004）+1根20m高排气筒（DA003）排放。</w:t>
            </w:r>
          </w:p>
          <w:p w14:paraId="5796F8B9">
            <w:pPr>
              <w:adjustRightInd w:val="0"/>
              <w:snapToGrid w:val="0"/>
              <w:spacing w:line="360" w:lineRule="auto"/>
              <w:ind w:firstLine="480" w:firstLineChars="200"/>
              <w:jc w:val="both"/>
              <w:rPr>
                <w:rFonts w:hint="eastAsia" w:eastAsia="宋体"/>
                <w:color w:val="auto"/>
                <w:sz w:val="24"/>
                <w:lang w:eastAsia="zh-CN"/>
              </w:rPr>
            </w:pPr>
            <w:r>
              <w:rPr>
                <w:rFonts w:hint="eastAsia"/>
                <w:color w:val="auto"/>
                <w:sz w:val="24"/>
                <w:szCs w:val="24"/>
              </w:rPr>
              <w:t>颗粒物排放执行《</w:t>
            </w:r>
            <w:r>
              <w:rPr>
                <w:rFonts w:hint="eastAsia"/>
                <w:color w:val="auto"/>
                <w:sz w:val="24"/>
                <w:szCs w:val="24"/>
                <w:lang w:eastAsia="zh-CN"/>
              </w:rPr>
              <w:t>大气</w:t>
            </w:r>
            <w:r>
              <w:rPr>
                <w:rFonts w:hint="eastAsia"/>
                <w:color w:val="auto"/>
                <w:sz w:val="24"/>
                <w:szCs w:val="24"/>
              </w:rPr>
              <w:t>污染物</w:t>
            </w:r>
            <w:r>
              <w:rPr>
                <w:rFonts w:hint="eastAsia"/>
                <w:color w:val="auto"/>
                <w:sz w:val="24"/>
                <w:szCs w:val="24"/>
                <w:lang w:eastAsia="zh-CN"/>
              </w:rPr>
              <w:t>综合</w:t>
            </w:r>
            <w:r>
              <w:rPr>
                <w:rFonts w:hint="eastAsia"/>
                <w:color w:val="auto"/>
                <w:sz w:val="24"/>
                <w:szCs w:val="24"/>
              </w:rPr>
              <w:t>排放标准》（GB</w:t>
            </w:r>
            <w:r>
              <w:rPr>
                <w:rFonts w:hint="eastAsia"/>
                <w:color w:val="auto"/>
                <w:sz w:val="24"/>
                <w:szCs w:val="24"/>
                <w:lang w:val="en-US" w:eastAsia="zh-CN"/>
              </w:rPr>
              <w:t>16297-1996</w:t>
            </w:r>
            <w:r>
              <w:rPr>
                <w:rFonts w:hint="eastAsia"/>
                <w:color w:val="auto"/>
                <w:sz w:val="24"/>
                <w:szCs w:val="24"/>
              </w:rPr>
              <w:t>）表</w:t>
            </w:r>
            <w:r>
              <w:rPr>
                <w:rFonts w:hint="eastAsia"/>
                <w:color w:val="auto"/>
                <w:sz w:val="24"/>
                <w:szCs w:val="24"/>
                <w:lang w:val="en-US" w:eastAsia="zh-CN"/>
              </w:rPr>
              <w:t>2</w:t>
            </w:r>
            <w:r>
              <w:rPr>
                <w:rFonts w:hint="eastAsia"/>
                <w:color w:val="auto"/>
                <w:sz w:val="24"/>
                <w:szCs w:val="24"/>
              </w:rPr>
              <w:t>中</w:t>
            </w:r>
            <w:r>
              <w:rPr>
                <w:rFonts w:hint="eastAsia"/>
                <w:color w:val="auto"/>
                <w:sz w:val="24"/>
                <w:szCs w:val="24"/>
                <w:lang w:eastAsia="zh-CN"/>
              </w:rPr>
              <w:t>二级标准及无组织排放监控浓度限值要求</w:t>
            </w:r>
            <w:r>
              <w:rPr>
                <w:rFonts w:hint="eastAsia"/>
                <w:color w:val="auto"/>
                <w:sz w:val="24"/>
                <w:szCs w:val="24"/>
              </w:rPr>
              <w:t>；非甲烷总烃排放执行《挥发性有机物综合排放控制标准（试行）》（DB36/2186-2025）表1、表2和表3中限值要求</w:t>
            </w:r>
            <w:r>
              <w:rPr>
                <w:rFonts w:hint="eastAsia"/>
                <w:color w:val="auto"/>
                <w:sz w:val="24"/>
                <w:szCs w:val="24"/>
                <w:lang w:eastAsia="zh-CN"/>
              </w:rPr>
              <w:t>。</w:t>
            </w:r>
          </w:p>
          <w:p w14:paraId="6C403476">
            <w:pPr>
              <w:adjustRightInd w:val="0"/>
              <w:snapToGrid w:val="0"/>
              <w:spacing w:line="360" w:lineRule="auto"/>
              <w:jc w:val="both"/>
              <w:rPr>
                <w:b/>
                <w:bCs/>
                <w:color w:val="auto"/>
                <w:sz w:val="24"/>
              </w:rPr>
            </w:pPr>
            <w:r>
              <w:rPr>
                <w:rFonts w:hint="eastAsia"/>
                <w:b/>
                <w:bCs/>
                <w:color w:val="auto"/>
                <w:sz w:val="24"/>
              </w:rPr>
              <w:t xml:space="preserve">3.1.3 </w:t>
            </w:r>
            <w:r>
              <w:rPr>
                <w:b/>
                <w:bCs/>
                <w:color w:val="auto"/>
                <w:sz w:val="24"/>
              </w:rPr>
              <w:t>噪声来源及其排放情况</w:t>
            </w:r>
          </w:p>
          <w:p w14:paraId="012B3938">
            <w:pPr>
              <w:adjustRightInd w:val="0"/>
              <w:snapToGrid w:val="0"/>
              <w:spacing w:line="360" w:lineRule="auto"/>
              <w:ind w:firstLine="480" w:firstLineChars="200"/>
              <w:rPr>
                <w:color w:val="auto"/>
                <w:sz w:val="24"/>
                <w:szCs w:val="24"/>
              </w:rPr>
            </w:pPr>
            <w:r>
              <w:rPr>
                <w:color w:val="auto"/>
                <w:sz w:val="24"/>
                <w:szCs w:val="24"/>
              </w:rPr>
              <w:t>项目噪声主要来自生产设备运行时产生的噪声。</w:t>
            </w:r>
          </w:p>
          <w:p w14:paraId="08E88C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sz w:val="24"/>
                <w:szCs w:val="24"/>
              </w:rPr>
            </w:pPr>
            <w:r>
              <w:rPr>
                <w:rFonts w:hint="eastAsia" w:ascii="宋体" w:hAnsi="宋体" w:cs="宋体"/>
                <w:color w:val="auto"/>
                <w:sz w:val="24"/>
                <w:szCs w:val="24"/>
              </w:rPr>
              <w:t>采取</w:t>
            </w:r>
            <w:r>
              <w:rPr>
                <w:rFonts w:hint="eastAsia" w:ascii="宋体" w:hAnsi="宋体" w:cs="宋体"/>
                <w:color w:val="auto"/>
                <w:sz w:val="24"/>
                <w:szCs w:val="24"/>
                <w:lang w:eastAsia="zh-CN"/>
              </w:rPr>
              <w:t>低噪设备、减振降噪、墙壁隔声、厂界绿化</w:t>
            </w:r>
            <w:r>
              <w:rPr>
                <w:rFonts w:hint="eastAsia" w:ascii="宋体" w:hAnsi="宋体" w:cs="宋体"/>
                <w:color w:val="auto"/>
                <w:sz w:val="24"/>
                <w:szCs w:val="24"/>
              </w:rPr>
              <w:t>等措施</w:t>
            </w:r>
          </w:p>
          <w:p w14:paraId="35FE0F6D">
            <w:pPr>
              <w:spacing w:line="360" w:lineRule="auto"/>
              <w:jc w:val="left"/>
              <w:rPr>
                <w:b/>
                <w:bCs/>
                <w:color w:val="auto"/>
                <w:sz w:val="24"/>
              </w:rPr>
            </w:pPr>
            <w:r>
              <w:rPr>
                <w:rFonts w:hint="eastAsia"/>
                <w:b/>
                <w:bCs/>
                <w:color w:val="auto"/>
                <w:sz w:val="24"/>
              </w:rPr>
              <w:t>3.1.4固体废物</w:t>
            </w:r>
            <w:r>
              <w:rPr>
                <w:b/>
                <w:bCs/>
                <w:color w:val="auto"/>
                <w:sz w:val="24"/>
              </w:rPr>
              <w:t>来源及其</w:t>
            </w:r>
            <w:r>
              <w:rPr>
                <w:rFonts w:hint="eastAsia"/>
                <w:b/>
                <w:bCs/>
                <w:color w:val="auto"/>
                <w:sz w:val="24"/>
              </w:rPr>
              <w:t>处理处置</w:t>
            </w:r>
            <w:r>
              <w:rPr>
                <w:b/>
                <w:bCs/>
                <w:color w:val="auto"/>
                <w:sz w:val="24"/>
              </w:rPr>
              <w:t>情况</w:t>
            </w:r>
          </w:p>
          <w:p w14:paraId="198D17A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color w:val="auto"/>
                <w:sz w:val="24"/>
                <w:szCs w:val="24"/>
              </w:rPr>
            </w:pPr>
            <w:r>
              <w:rPr>
                <w:rFonts w:hint="eastAsia"/>
                <w:color w:val="auto"/>
                <w:sz w:val="24"/>
                <w:szCs w:val="24"/>
                <w:lang w:eastAsia="zh-CN"/>
              </w:rPr>
              <w:t>项目产生的</w:t>
            </w:r>
            <w:r>
              <w:rPr>
                <w:rFonts w:hint="eastAsia"/>
                <w:color w:val="auto"/>
                <w:sz w:val="24"/>
                <w:szCs w:val="24"/>
                <w:lang w:val="en-US" w:eastAsia="zh-CN"/>
              </w:rPr>
              <w:t>废边角料、焊渣、废钢丸、布袋除尘器收集的抛丸粉尘、布袋除尘器收集的喷塑粉尘、收集的金属粉尘、废布袋、废一般包装材料、沉渣统一</w:t>
            </w:r>
            <w:r>
              <w:rPr>
                <w:rFonts w:hint="eastAsia"/>
                <w:color w:val="auto"/>
                <w:sz w:val="24"/>
                <w:szCs w:val="24"/>
                <w:lang w:eastAsia="zh-CN"/>
              </w:rPr>
              <w:t>收集后暂存于一般工业固废暂存间（</w:t>
            </w:r>
            <w:r>
              <w:rPr>
                <w:rFonts w:hint="eastAsia"/>
                <w:color w:val="auto"/>
                <w:sz w:val="24"/>
                <w:szCs w:val="24"/>
                <w:lang w:val="en-US" w:eastAsia="zh-CN"/>
              </w:rPr>
              <w:t>200</w:t>
            </w:r>
            <w:r>
              <w:rPr>
                <w:rFonts w:hint="eastAsia"/>
                <w:color w:val="auto"/>
                <w:sz w:val="24"/>
                <w:szCs w:val="24"/>
                <w:lang w:eastAsia="zh-CN"/>
              </w:rPr>
              <w:t>m</w:t>
            </w:r>
            <w:r>
              <w:rPr>
                <w:rFonts w:hint="eastAsia"/>
                <w:color w:val="auto"/>
                <w:sz w:val="24"/>
                <w:szCs w:val="24"/>
                <w:vertAlign w:val="superscript"/>
                <w:lang w:eastAsia="zh-CN"/>
              </w:rPr>
              <w:t>2</w:t>
            </w:r>
            <w:r>
              <w:rPr>
                <w:rFonts w:hint="eastAsia"/>
                <w:color w:val="auto"/>
                <w:sz w:val="24"/>
                <w:szCs w:val="24"/>
                <w:lang w:eastAsia="zh-CN"/>
              </w:rPr>
              <w:t>）外售处理；</w:t>
            </w:r>
            <w:r>
              <w:rPr>
                <w:rFonts w:hint="eastAsia"/>
                <w:color w:val="auto"/>
                <w:sz w:val="24"/>
                <w:szCs w:val="24"/>
                <w:lang w:val="en-US" w:eastAsia="zh-CN"/>
              </w:rPr>
              <w:t>废活性炭、废润滑油、废液压油、废油桶、废抹布及手套</w:t>
            </w:r>
            <w:r>
              <w:rPr>
                <w:rFonts w:hint="eastAsia"/>
                <w:color w:val="auto"/>
                <w:sz w:val="24"/>
                <w:szCs w:val="24"/>
                <w:lang w:eastAsia="zh-CN"/>
              </w:rPr>
              <w:t>暂存于危废暂存间（</w:t>
            </w:r>
            <w:r>
              <w:rPr>
                <w:rFonts w:hint="eastAsia"/>
                <w:color w:val="auto"/>
                <w:sz w:val="24"/>
                <w:szCs w:val="24"/>
                <w:lang w:val="en-US" w:eastAsia="zh-CN"/>
              </w:rPr>
              <w:t>10</w:t>
            </w:r>
            <w:r>
              <w:rPr>
                <w:rFonts w:hint="eastAsia"/>
                <w:color w:val="auto"/>
                <w:sz w:val="24"/>
                <w:szCs w:val="24"/>
                <w:lang w:eastAsia="zh-CN"/>
              </w:rPr>
              <w:t>m</w:t>
            </w:r>
            <w:r>
              <w:rPr>
                <w:rFonts w:hint="eastAsia"/>
                <w:color w:val="auto"/>
                <w:sz w:val="24"/>
                <w:szCs w:val="24"/>
                <w:vertAlign w:val="superscript"/>
                <w:lang w:eastAsia="zh-CN"/>
              </w:rPr>
              <w:t>2</w:t>
            </w:r>
            <w:r>
              <w:rPr>
                <w:rFonts w:hint="eastAsia"/>
                <w:color w:val="auto"/>
                <w:sz w:val="24"/>
                <w:szCs w:val="24"/>
                <w:lang w:eastAsia="zh-CN"/>
              </w:rPr>
              <w:t>）定期交由有资质单位处理；</w:t>
            </w:r>
            <w:r>
              <w:rPr>
                <w:rFonts w:ascii="Times New Roman" w:hAnsi="Times New Roman" w:cs="Times New Roman"/>
                <w:color w:val="auto"/>
                <w:sz w:val="24"/>
                <w:szCs w:val="24"/>
              </w:rPr>
              <w:t>生活垃圾交由当地的环卫部门处置</w:t>
            </w:r>
            <w:r>
              <w:rPr>
                <w:color w:val="auto"/>
                <w:sz w:val="24"/>
                <w:szCs w:val="24"/>
              </w:rPr>
              <w:t>。</w:t>
            </w:r>
          </w:p>
          <w:p w14:paraId="03A65A92">
            <w:pPr>
              <w:keepNext w:val="0"/>
              <w:keepLines w:val="0"/>
              <w:pageBreakBefore w:val="0"/>
              <w:widowControl w:val="0"/>
              <w:kinsoku/>
              <w:wordWrap/>
              <w:overflowPunct/>
              <w:topLinePunct w:val="0"/>
              <w:autoSpaceDE/>
              <w:autoSpaceDN/>
              <w:bidi w:val="0"/>
              <w:spacing w:line="360" w:lineRule="auto"/>
              <w:jc w:val="left"/>
              <w:textAlignment w:val="auto"/>
              <w:rPr>
                <w:b/>
                <w:bCs/>
                <w:color w:val="auto"/>
                <w:sz w:val="24"/>
              </w:rPr>
            </w:pPr>
            <w:r>
              <w:rPr>
                <w:rFonts w:hint="eastAsia"/>
                <w:b/>
                <w:bCs/>
                <w:color w:val="auto"/>
                <w:sz w:val="24"/>
              </w:rPr>
              <w:t>3.2其他环境保护设施</w:t>
            </w:r>
          </w:p>
          <w:p w14:paraId="7918AC13">
            <w:pPr>
              <w:spacing w:line="360" w:lineRule="auto"/>
              <w:jc w:val="left"/>
              <w:rPr>
                <w:b/>
                <w:bCs/>
                <w:color w:val="auto"/>
                <w:sz w:val="24"/>
              </w:rPr>
            </w:pPr>
            <w:r>
              <w:rPr>
                <w:rFonts w:hint="eastAsia"/>
                <w:b/>
                <w:bCs/>
                <w:color w:val="auto"/>
                <w:sz w:val="24"/>
              </w:rPr>
              <w:t>3.2.1 环境管理机构设置及有关环境管理制度</w:t>
            </w:r>
          </w:p>
          <w:p w14:paraId="658555E3">
            <w:pPr>
              <w:adjustRightInd w:val="0"/>
              <w:snapToGrid w:val="0"/>
              <w:spacing w:line="360" w:lineRule="auto"/>
              <w:ind w:firstLine="480" w:firstLineChars="200"/>
              <w:rPr>
                <w:rFonts w:hint="eastAsia"/>
                <w:color w:val="auto"/>
                <w:sz w:val="24"/>
                <w:szCs w:val="24"/>
              </w:rPr>
            </w:pPr>
            <w:r>
              <w:rPr>
                <w:rFonts w:hint="eastAsia"/>
                <w:color w:val="auto"/>
                <w:sz w:val="24"/>
                <w:szCs w:val="24"/>
              </w:rPr>
              <w:t>1）建设单位需设专门的环境管理部门，安排专门环保人员，负责项目运行过程中环境管理、环境监控等工作，并受项目所在地主管部门、生态环境部门的监督和指导。</w:t>
            </w:r>
          </w:p>
          <w:p w14:paraId="570E27F2">
            <w:pPr>
              <w:adjustRightInd w:val="0"/>
              <w:snapToGrid w:val="0"/>
              <w:spacing w:line="360" w:lineRule="auto"/>
              <w:ind w:firstLine="480" w:firstLineChars="200"/>
              <w:rPr>
                <w:rFonts w:hint="eastAsia"/>
                <w:color w:val="auto"/>
                <w:sz w:val="24"/>
                <w:szCs w:val="24"/>
              </w:rPr>
            </w:pPr>
            <w:r>
              <w:rPr>
                <w:rFonts w:hint="eastAsia"/>
                <w:color w:val="auto"/>
                <w:sz w:val="24"/>
                <w:szCs w:val="24"/>
              </w:rPr>
              <w:t>2）安排专人定期对环保设施进行检查、维修、保养等工作，确保环保设施长期、稳定、达标运行。</w:t>
            </w:r>
          </w:p>
          <w:p w14:paraId="1593EF4C">
            <w:pPr>
              <w:adjustRightInd w:val="0"/>
              <w:snapToGrid w:val="0"/>
              <w:spacing w:line="360" w:lineRule="auto"/>
              <w:ind w:firstLine="480" w:firstLineChars="200"/>
              <w:rPr>
                <w:color w:val="auto"/>
                <w:sz w:val="24"/>
                <w:szCs w:val="24"/>
              </w:rPr>
            </w:pPr>
            <w:r>
              <w:rPr>
                <w:rFonts w:hint="eastAsia"/>
                <w:color w:val="auto"/>
                <w:sz w:val="24"/>
                <w:szCs w:val="24"/>
              </w:rPr>
              <w:t>3）定期对员工进行环境保护教育、培训，提高员工的环保意识。</w:t>
            </w:r>
          </w:p>
          <w:p w14:paraId="6055E619">
            <w:pPr>
              <w:spacing w:line="360" w:lineRule="auto"/>
              <w:jc w:val="left"/>
              <w:rPr>
                <w:b/>
                <w:bCs/>
                <w:color w:val="auto"/>
                <w:sz w:val="24"/>
                <w:szCs w:val="24"/>
              </w:rPr>
            </w:pPr>
            <w:r>
              <w:rPr>
                <w:rFonts w:hint="eastAsia"/>
                <w:b/>
                <w:bCs/>
                <w:color w:val="auto"/>
                <w:sz w:val="24"/>
              </w:rPr>
              <w:t>3.2.2 环保设施建设与运行</w:t>
            </w:r>
            <w:r>
              <w:rPr>
                <w:rFonts w:hint="eastAsia"/>
                <w:b/>
                <w:bCs/>
                <w:color w:val="auto"/>
                <w:sz w:val="24"/>
                <w:szCs w:val="24"/>
              </w:rPr>
              <w:t>情况</w:t>
            </w:r>
          </w:p>
          <w:p w14:paraId="612138F0">
            <w:pPr>
              <w:adjustRightInd w:val="0"/>
              <w:snapToGrid w:val="0"/>
              <w:spacing w:line="360" w:lineRule="auto"/>
              <w:ind w:firstLine="480" w:firstLineChars="200"/>
              <w:rPr>
                <w:color w:val="auto"/>
                <w:sz w:val="24"/>
                <w:szCs w:val="24"/>
              </w:rPr>
            </w:pPr>
            <w:r>
              <w:rPr>
                <w:rFonts w:hint="eastAsia"/>
                <w:color w:val="auto"/>
                <w:sz w:val="24"/>
                <w:szCs w:val="24"/>
                <w:highlight w:val="none"/>
              </w:rPr>
              <w:t>水联</w:t>
            </w:r>
            <w:r>
              <w:rPr>
                <w:rFonts w:hint="eastAsia"/>
                <w:color w:val="auto"/>
                <w:sz w:val="24"/>
                <w:szCs w:val="24"/>
                <w:highlight w:val="none"/>
                <w:lang w:eastAsia="zh-CN"/>
              </w:rPr>
              <w:t>（</w:t>
            </w:r>
            <w:r>
              <w:rPr>
                <w:rFonts w:hint="eastAsia"/>
                <w:color w:val="auto"/>
                <w:sz w:val="24"/>
                <w:szCs w:val="24"/>
                <w:highlight w:val="none"/>
              </w:rPr>
              <w:t>江西</w:t>
            </w:r>
            <w:r>
              <w:rPr>
                <w:rFonts w:hint="eastAsia"/>
                <w:color w:val="auto"/>
                <w:sz w:val="24"/>
                <w:szCs w:val="24"/>
                <w:highlight w:val="none"/>
                <w:lang w:eastAsia="zh-CN"/>
              </w:rPr>
              <w:t>）</w:t>
            </w:r>
            <w:r>
              <w:rPr>
                <w:rFonts w:hint="eastAsia"/>
                <w:color w:val="auto"/>
                <w:sz w:val="24"/>
                <w:szCs w:val="24"/>
                <w:highlight w:val="none"/>
              </w:rPr>
              <w:t>管道装备有限公司落实了环评报告及环评批复中提出的各项污染防治措施要求，环保设施的运行及为维护由公司专职人员负责，主要环保设施包括</w:t>
            </w:r>
            <w:r>
              <w:rPr>
                <w:rFonts w:hint="eastAsia"/>
                <w:color w:val="auto"/>
                <w:sz w:val="24"/>
                <w:szCs w:val="24"/>
                <w:highlight w:val="none"/>
                <w:lang w:eastAsia="zh-CN"/>
              </w:rPr>
              <w:t>化粪池、一般固废暂存间、</w:t>
            </w:r>
            <w:r>
              <w:rPr>
                <w:rFonts w:hint="eastAsia"/>
                <w:color w:val="auto"/>
                <w:sz w:val="24"/>
                <w:szCs w:val="24"/>
                <w:highlight w:val="none"/>
                <w:lang w:val="en-US" w:eastAsia="zh-CN"/>
              </w:rPr>
              <w:t>危废间、</w:t>
            </w:r>
            <w:r>
              <w:rPr>
                <w:rFonts w:hint="eastAsia"/>
                <w:color w:val="auto"/>
                <w:sz w:val="24"/>
                <w:szCs w:val="24"/>
                <w:highlight w:val="none"/>
                <w:lang w:eastAsia="zh-CN"/>
              </w:rPr>
              <w:t>废气处理措施、噪声防治措施</w:t>
            </w:r>
            <w:r>
              <w:rPr>
                <w:rFonts w:hint="eastAsia"/>
                <w:color w:val="auto"/>
                <w:sz w:val="24"/>
                <w:szCs w:val="24"/>
                <w:highlight w:val="none"/>
              </w:rPr>
              <w:t>。验收期间各环保设施正常运转。</w:t>
            </w:r>
          </w:p>
          <w:p w14:paraId="310D6471">
            <w:pPr>
              <w:spacing w:line="360" w:lineRule="auto"/>
              <w:jc w:val="left"/>
              <w:rPr>
                <w:b/>
                <w:bCs/>
                <w:color w:val="auto"/>
                <w:sz w:val="24"/>
              </w:rPr>
            </w:pPr>
            <w:r>
              <w:rPr>
                <w:rFonts w:hint="eastAsia"/>
                <w:b/>
                <w:bCs/>
                <w:color w:val="auto"/>
                <w:sz w:val="24"/>
              </w:rPr>
              <w:t>3.2.3 其他环境保护设施</w:t>
            </w:r>
          </w:p>
          <w:p w14:paraId="57D8E853">
            <w:pPr>
              <w:adjustRightInd w:val="0"/>
              <w:snapToGrid w:val="0"/>
              <w:spacing w:line="360" w:lineRule="auto"/>
              <w:ind w:firstLine="480" w:firstLineChars="200"/>
              <w:rPr>
                <w:color w:val="auto"/>
                <w:sz w:val="24"/>
                <w:szCs w:val="24"/>
              </w:rPr>
            </w:pPr>
            <w:r>
              <w:rPr>
                <w:rFonts w:hint="eastAsia"/>
                <w:color w:val="auto"/>
                <w:sz w:val="24"/>
                <w:szCs w:val="24"/>
              </w:rPr>
              <w:t>具体的环保投资见表3-2。</w:t>
            </w:r>
          </w:p>
          <w:p w14:paraId="1F93B17C">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表3-2 环保投资项目</w:t>
            </w:r>
          </w:p>
          <w:tbl>
            <w:tblPr>
              <w:tblStyle w:val="35"/>
              <w:tblW w:w="4995"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3353"/>
              <w:gridCol w:w="3347"/>
              <w:gridCol w:w="869"/>
              <w:gridCol w:w="967"/>
            </w:tblGrid>
            <w:tr w14:paraId="3DC5F2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0" w:type="pct"/>
                  <w:vAlign w:val="center"/>
                </w:tcPr>
                <w:p w14:paraId="69ED68A6">
                  <w:pPr>
                    <w:jc w:val="center"/>
                    <w:rPr>
                      <w:rFonts w:hint="default" w:ascii="Times New Roman" w:hAnsi="Times New Roman" w:cs="Times New Roman" w:eastAsiaTheme="minorEastAsia"/>
                      <w:b w:val="0"/>
                      <w:bCs/>
                      <w:color w:val="auto"/>
                      <w:sz w:val="21"/>
                      <w:szCs w:val="21"/>
                    </w:rPr>
                  </w:pPr>
                  <w:r>
                    <w:rPr>
                      <w:rFonts w:hint="default" w:ascii="Times New Roman" w:hAnsi="Times New Roman" w:cs="Times New Roman" w:eastAsiaTheme="minorEastAsia"/>
                      <w:b w:val="0"/>
                      <w:bCs/>
                      <w:color w:val="auto"/>
                      <w:sz w:val="21"/>
                      <w:szCs w:val="21"/>
                    </w:rPr>
                    <w:t>产污</w:t>
                  </w:r>
                </w:p>
                <w:p w14:paraId="7D10B822">
                  <w:pPr>
                    <w:jc w:val="center"/>
                    <w:rPr>
                      <w:rFonts w:hint="default" w:ascii="Times New Roman" w:hAnsi="Times New Roman" w:cs="Times New Roman" w:eastAsiaTheme="minorEastAsia"/>
                      <w:b w:val="0"/>
                      <w:bCs/>
                      <w:color w:val="auto"/>
                      <w:sz w:val="21"/>
                      <w:szCs w:val="21"/>
                    </w:rPr>
                  </w:pPr>
                  <w:r>
                    <w:rPr>
                      <w:rFonts w:hint="default" w:ascii="Times New Roman" w:hAnsi="Times New Roman" w:cs="Times New Roman" w:eastAsiaTheme="minorEastAsia"/>
                      <w:b w:val="0"/>
                      <w:bCs/>
                      <w:color w:val="auto"/>
                      <w:sz w:val="21"/>
                      <w:szCs w:val="21"/>
                    </w:rPr>
                    <w:t>环节</w:t>
                  </w:r>
                </w:p>
              </w:tc>
              <w:tc>
                <w:tcPr>
                  <w:tcW w:w="1783" w:type="pct"/>
                  <w:vAlign w:val="center"/>
                </w:tcPr>
                <w:p w14:paraId="7058F98D">
                  <w:pPr>
                    <w:jc w:val="center"/>
                    <w:rPr>
                      <w:rFonts w:hint="default" w:ascii="Times New Roman" w:hAnsi="Times New Roman" w:cs="Times New Roman" w:eastAsiaTheme="minorEastAsia"/>
                      <w:b w:val="0"/>
                      <w:bCs/>
                      <w:color w:val="auto"/>
                      <w:sz w:val="21"/>
                      <w:szCs w:val="21"/>
                    </w:rPr>
                  </w:pPr>
                  <w:r>
                    <w:rPr>
                      <w:rFonts w:hint="default" w:ascii="Times New Roman" w:hAnsi="Times New Roman" w:cs="Times New Roman" w:eastAsiaTheme="minorEastAsia"/>
                      <w:b w:val="0"/>
                      <w:bCs/>
                      <w:color w:val="auto"/>
                      <w:sz w:val="21"/>
                      <w:szCs w:val="21"/>
                    </w:rPr>
                    <w:t>环评治理措施</w:t>
                  </w:r>
                </w:p>
              </w:tc>
              <w:tc>
                <w:tcPr>
                  <w:tcW w:w="1780" w:type="pct"/>
                  <w:vAlign w:val="center"/>
                </w:tcPr>
                <w:p w14:paraId="10EC2575">
                  <w:pPr>
                    <w:jc w:val="center"/>
                    <w:rPr>
                      <w:rFonts w:hint="default" w:ascii="Times New Roman" w:hAnsi="Times New Roman" w:cs="Times New Roman" w:eastAsiaTheme="minorEastAsia"/>
                      <w:b w:val="0"/>
                      <w:bCs/>
                      <w:color w:val="auto"/>
                      <w:sz w:val="21"/>
                      <w:szCs w:val="21"/>
                    </w:rPr>
                  </w:pPr>
                  <w:r>
                    <w:rPr>
                      <w:rFonts w:hint="eastAsia" w:cs="Times New Roman" w:eastAsiaTheme="minorEastAsia"/>
                      <w:b w:val="0"/>
                      <w:bCs/>
                      <w:color w:val="auto"/>
                      <w:sz w:val="21"/>
                      <w:szCs w:val="21"/>
                      <w:lang w:eastAsia="zh-CN"/>
                    </w:rPr>
                    <w:t>一期</w:t>
                  </w:r>
                  <w:r>
                    <w:rPr>
                      <w:rFonts w:hint="default" w:ascii="Times New Roman" w:hAnsi="Times New Roman" w:cs="Times New Roman" w:eastAsiaTheme="minorEastAsia"/>
                      <w:b w:val="0"/>
                      <w:bCs/>
                      <w:color w:val="auto"/>
                      <w:sz w:val="21"/>
                      <w:szCs w:val="21"/>
                    </w:rPr>
                    <w:t>实际治理措施</w:t>
                  </w:r>
                </w:p>
              </w:tc>
              <w:tc>
                <w:tcPr>
                  <w:tcW w:w="462" w:type="pct"/>
                  <w:vAlign w:val="center"/>
                </w:tcPr>
                <w:p w14:paraId="08514276">
                  <w:pPr>
                    <w:jc w:val="center"/>
                    <w:rPr>
                      <w:rFonts w:eastAsiaTheme="minorEastAsia"/>
                      <w:b w:val="0"/>
                      <w:bCs/>
                      <w:color w:val="auto"/>
                      <w:sz w:val="21"/>
                      <w:szCs w:val="21"/>
                    </w:rPr>
                  </w:pPr>
                  <w:r>
                    <w:rPr>
                      <w:rFonts w:eastAsiaTheme="minorEastAsia"/>
                      <w:b w:val="0"/>
                      <w:bCs/>
                      <w:color w:val="auto"/>
                      <w:sz w:val="21"/>
                      <w:szCs w:val="21"/>
                    </w:rPr>
                    <w:t>项目环保投资估算（万元）</w:t>
                  </w:r>
                </w:p>
              </w:tc>
              <w:tc>
                <w:tcPr>
                  <w:tcW w:w="514" w:type="pct"/>
                  <w:vAlign w:val="center"/>
                </w:tcPr>
                <w:p w14:paraId="3E96EF8F">
                  <w:pPr>
                    <w:jc w:val="center"/>
                    <w:rPr>
                      <w:rFonts w:eastAsiaTheme="minorEastAsia"/>
                      <w:b w:val="0"/>
                      <w:bCs/>
                      <w:color w:val="auto"/>
                      <w:sz w:val="21"/>
                      <w:szCs w:val="21"/>
                    </w:rPr>
                  </w:pPr>
                  <w:r>
                    <w:rPr>
                      <w:rFonts w:eastAsiaTheme="minorEastAsia"/>
                      <w:b w:val="0"/>
                      <w:bCs/>
                      <w:color w:val="auto"/>
                      <w:sz w:val="21"/>
                      <w:szCs w:val="21"/>
                    </w:rPr>
                    <w:t>项目实际投资金额（万元）</w:t>
                  </w:r>
                </w:p>
              </w:tc>
            </w:tr>
            <w:tr w14:paraId="55C07B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vMerge w:val="restart"/>
                  <w:vAlign w:val="center"/>
                </w:tcPr>
                <w:p w14:paraId="25E48BF2">
                  <w:pPr>
                    <w:jc w:val="center"/>
                    <w:rPr>
                      <w:rFonts w:hint="default" w:ascii="Times New Roman" w:hAnsi="Times New Roman" w:cs="Times New Roman" w:eastAsiaTheme="minorEastAsia"/>
                      <w:b w:val="0"/>
                      <w:bCs/>
                      <w:color w:val="auto"/>
                      <w:sz w:val="21"/>
                      <w:szCs w:val="21"/>
                    </w:rPr>
                  </w:pPr>
                  <w:r>
                    <w:rPr>
                      <w:rFonts w:hint="default" w:ascii="Times New Roman" w:hAnsi="Times New Roman" w:cs="Times New Roman" w:eastAsiaTheme="minorEastAsia"/>
                      <w:b w:val="0"/>
                      <w:bCs/>
                      <w:color w:val="auto"/>
                      <w:sz w:val="21"/>
                      <w:szCs w:val="21"/>
                    </w:rPr>
                    <w:t>废气</w:t>
                  </w:r>
                </w:p>
              </w:tc>
              <w:tc>
                <w:tcPr>
                  <w:tcW w:w="1783" w:type="pct"/>
                  <w:vAlign w:val="center"/>
                </w:tcPr>
                <w:p w14:paraId="39CAED4A">
                  <w:pPr>
                    <w:jc w:val="center"/>
                    <w:rPr>
                      <w:rFonts w:hint="default" w:ascii="Times New Roman" w:hAnsi="Times New Roman" w:eastAsia="宋体" w:cs="Times New Roman"/>
                      <w:b w:val="0"/>
                      <w:bCs/>
                      <w:color w:val="auto"/>
                      <w:kern w:val="0"/>
                      <w:sz w:val="21"/>
                      <w:szCs w:val="21"/>
                      <w:lang w:eastAsia="zh-CN"/>
                    </w:rPr>
                  </w:pPr>
                  <w:r>
                    <w:rPr>
                      <w:rFonts w:hint="eastAsia"/>
                      <w:color w:val="auto"/>
                      <w:highlight w:val="none"/>
                      <w:lang w:eastAsia="zh-CN"/>
                    </w:rPr>
                    <w:t>圆盘剪铣边、飞剪、平头倒棱金属粉尘采用</w:t>
                  </w:r>
                  <w:r>
                    <w:rPr>
                      <w:rFonts w:hint="default"/>
                      <w:color w:val="auto"/>
                      <w:highlight w:val="none"/>
                      <w:lang w:eastAsia="zh-CN"/>
                    </w:rPr>
                    <w:t>防尘挡板、自然沉降</w:t>
                  </w:r>
                </w:p>
              </w:tc>
              <w:tc>
                <w:tcPr>
                  <w:tcW w:w="1780" w:type="pct"/>
                  <w:vAlign w:val="center"/>
                </w:tcPr>
                <w:p w14:paraId="010D0B7A">
                  <w:pPr>
                    <w:jc w:val="center"/>
                    <w:rPr>
                      <w:rFonts w:hint="default" w:ascii="Times New Roman" w:hAnsi="Times New Roman" w:eastAsia="宋体" w:cs="Times New Roman"/>
                      <w:color w:val="auto"/>
                      <w:sz w:val="21"/>
                      <w:szCs w:val="21"/>
                      <w:lang w:eastAsia="zh-CN"/>
                    </w:rPr>
                  </w:pPr>
                  <w:r>
                    <w:rPr>
                      <w:rFonts w:hint="eastAsia"/>
                      <w:color w:val="auto"/>
                      <w:highlight w:val="none"/>
                      <w:lang w:eastAsia="zh-CN"/>
                    </w:rPr>
                    <w:t>圆盘剪铣边、飞剪、平头倒棱金属粉尘采用</w:t>
                  </w:r>
                  <w:r>
                    <w:rPr>
                      <w:rFonts w:hint="default"/>
                      <w:color w:val="auto"/>
                      <w:highlight w:val="none"/>
                      <w:lang w:eastAsia="zh-CN"/>
                    </w:rPr>
                    <w:t>防尘挡板、自然沉降</w:t>
                  </w:r>
                </w:p>
              </w:tc>
              <w:tc>
                <w:tcPr>
                  <w:tcW w:w="462" w:type="pct"/>
                  <w:vAlign w:val="center"/>
                </w:tcPr>
                <w:p w14:paraId="3A90726F">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0</w:t>
                  </w:r>
                </w:p>
              </w:tc>
              <w:tc>
                <w:tcPr>
                  <w:tcW w:w="514" w:type="pct"/>
                  <w:vAlign w:val="center"/>
                </w:tcPr>
                <w:p w14:paraId="545C06E0">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1</w:t>
                  </w:r>
                </w:p>
              </w:tc>
            </w:tr>
            <w:tr w14:paraId="67A947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vMerge w:val="continue"/>
                  <w:vAlign w:val="center"/>
                </w:tcPr>
                <w:p w14:paraId="0E9E9A89">
                  <w:pPr>
                    <w:jc w:val="center"/>
                    <w:rPr>
                      <w:rFonts w:hint="default" w:ascii="Times New Roman" w:hAnsi="Times New Roman" w:cs="Times New Roman" w:eastAsiaTheme="minorEastAsia"/>
                      <w:b w:val="0"/>
                      <w:bCs/>
                      <w:color w:val="auto"/>
                      <w:sz w:val="21"/>
                      <w:szCs w:val="21"/>
                    </w:rPr>
                  </w:pPr>
                </w:p>
              </w:tc>
              <w:tc>
                <w:tcPr>
                  <w:tcW w:w="1783" w:type="pct"/>
                  <w:vAlign w:val="center"/>
                </w:tcPr>
                <w:p w14:paraId="56B93A18">
                  <w:pPr>
                    <w:jc w:val="center"/>
                    <w:rPr>
                      <w:rFonts w:hint="eastAsia"/>
                      <w:color w:val="auto"/>
                      <w:highlight w:val="none"/>
                      <w:lang w:eastAsia="zh-CN"/>
                    </w:rPr>
                  </w:pPr>
                  <w:r>
                    <w:rPr>
                      <w:rFonts w:hint="eastAsia"/>
                      <w:color w:val="auto"/>
                      <w:highlight w:val="none"/>
                      <w:lang w:eastAsia="zh-CN"/>
                    </w:rPr>
                    <w:t>焊接烟尘经布袋除尘器（TA001）+1根15m排气筒（DA001）排放</w:t>
                  </w:r>
                </w:p>
              </w:tc>
              <w:tc>
                <w:tcPr>
                  <w:tcW w:w="1780" w:type="pct"/>
                  <w:vAlign w:val="center"/>
                </w:tcPr>
                <w:p w14:paraId="727FC07C">
                  <w:pPr>
                    <w:jc w:val="center"/>
                    <w:rPr>
                      <w:rFonts w:hint="default" w:ascii="Times New Roman" w:hAnsi="Times New Roman" w:eastAsia="宋体" w:cs="Times New Roman"/>
                      <w:color w:val="auto"/>
                      <w:sz w:val="21"/>
                      <w:szCs w:val="21"/>
                      <w:lang w:eastAsia="zh-CN"/>
                    </w:rPr>
                  </w:pPr>
                  <w:r>
                    <w:rPr>
                      <w:rFonts w:hint="eastAsia"/>
                      <w:color w:val="auto"/>
                      <w:highlight w:val="none"/>
                      <w:lang w:eastAsia="zh-CN"/>
                    </w:rPr>
                    <w:t>焊接烟尘经布袋除尘器（TA001）+1根20m排气筒（DA001）排放</w:t>
                  </w:r>
                </w:p>
              </w:tc>
              <w:tc>
                <w:tcPr>
                  <w:tcW w:w="462" w:type="pct"/>
                  <w:vAlign w:val="center"/>
                </w:tcPr>
                <w:p w14:paraId="48CEC012">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8</w:t>
                  </w:r>
                </w:p>
              </w:tc>
              <w:tc>
                <w:tcPr>
                  <w:tcW w:w="514" w:type="pct"/>
                  <w:vAlign w:val="center"/>
                </w:tcPr>
                <w:p w14:paraId="49731EBF">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8</w:t>
                  </w:r>
                </w:p>
              </w:tc>
            </w:tr>
            <w:tr w14:paraId="199F30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vMerge w:val="continue"/>
                  <w:vAlign w:val="center"/>
                </w:tcPr>
                <w:p w14:paraId="45AF14FF">
                  <w:pPr>
                    <w:jc w:val="center"/>
                    <w:rPr>
                      <w:rFonts w:hint="default" w:ascii="Times New Roman" w:hAnsi="Times New Roman" w:cs="Times New Roman" w:eastAsiaTheme="minorEastAsia"/>
                      <w:b w:val="0"/>
                      <w:bCs/>
                      <w:color w:val="auto"/>
                      <w:sz w:val="21"/>
                      <w:szCs w:val="21"/>
                    </w:rPr>
                  </w:pPr>
                </w:p>
              </w:tc>
              <w:tc>
                <w:tcPr>
                  <w:tcW w:w="1783" w:type="pct"/>
                  <w:vAlign w:val="center"/>
                </w:tcPr>
                <w:p w14:paraId="32BF855F">
                  <w:pPr>
                    <w:jc w:val="center"/>
                    <w:rPr>
                      <w:rFonts w:hint="eastAsia"/>
                      <w:color w:val="auto"/>
                      <w:highlight w:val="none"/>
                      <w:lang w:eastAsia="zh-CN"/>
                    </w:rPr>
                  </w:pPr>
                  <w:r>
                    <w:rPr>
                      <w:rFonts w:hint="eastAsia"/>
                      <w:color w:val="auto"/>
                      <w:highlight w:val="none"/>
                      <w:lang w:eastAsia="zh-CN"/>
                    </w:rPr>
                    <w:t>抛丸粉尘经设备自带布袋除尘器（TA002）+1根15m排气筒（DA002）排放</w:t>
                  </w:r>
                </w:p>
              </w:tc>
              <w:tc>
                <w:tcPr>
                  <w:tcW w:w="1780" w:type="pct"/>
                  <w:vAlign w:val="center"/>
                </w:tcPr>
                <w:p w14:paraId="47D6915C">
                  <w:pPr>
                    <w:jc w:val="center"/>
                    <w:rPr>
                      <w:rFonts w:hint="default" w:ascii="Times New Roman" w:hAnsi="Times New Roman" w:eastAsia="宋体" w:cs="Times New Roman"/>
                      <w:color w:val="auto"/>
                      <w:sz w:val="21"/>
                      <w:szCs w:val="21"/>
                      <w:lang w:eastAsia="zh-CN"/>
                    </w:rPr>
                  </w:pPr>
                  <w:r>
                    <w:rPr>
                      <w:rFonts w:hint="eastAsia"/>
                      <w:color w:val="auto"/>
                      <w:highlight w:val="none"/>
                      <w:lang w:eastAsia="zh-CN"/>
                    </w:rPr>
                    <w:t>抛丸粉尘经设备自带布袋除尘器（TA002）+1根20m排气筒（DA002）排放</w:t>
                  </w:r>
                </w:p>
              </w:tc>
              <w:tc>
                <w:tcPr>
                  <w:tcW w:w="462" w:type="pct"/>
                  <w:vAlign w:val="center"/>
                </w:tcPr>
                <w:p w14:paraId="1EA22B97">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2</w:t>
                  </w:r>
                </w:p>
              </w:tc>
              <w:tc>
                <w:tcPr>
                  <w:tcW w:w="514" w:type="pct"/>
                  <w:vAlign w:val="center"/>
                </w:tcPr>
                <w:p w14:paraId="0BE3A313">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2</w:t>
                  </w:r>
                </w:p>
              </w:tc>
            </w:tr>
            <w:tr w14:paraId="58FC50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vMerge w:val="continue"/>
                  <w:vAlign w:val="center"/>
                </w:tcPr>
                <w:p w14:paraId="4FFFCD47">
                  <w:pPr>
                    <w:jc w:val="center"/>
                    <w:rPr>
                      <w:rFonts w:hint="default" w:ascii="Times New Roman" w:hAnsi="Times New Roman" w:cs="Times New Roman" w:eastAsiaTheme="minorEastAsia"/>
                      <w:b w:val="0"/>
                      <w:bCs/>
                      <w:color w:val="auto"/>
                      <w:sz w:val="21"/>
                      <w:szCs w:val="21"/>
                    </w:rPr>
                  </w:pPr>
                </w:p>
              </w:tc>
              <w:tc>
                <w:tcPr>
                  <w:tcW w:w="1783" w:type="pct"/>
                  <w:vAlign w:val="center"/>
                </w:tcPr>
                <w:p w14:paraId="617BBFD2">
                  <w:pPr>
                    <w:jc w:val="center"/>
                    <w:rPr>
                      <w:rFonts w:hint="eastAsia"/>
                      <w:color w:val="auto"/>
                      <w:highlight w:val="none"/>
                      <w:lang w:eastAsia="zh-CN"/>
                    </w:rPr>
                  </w:pPr>
                  <w:r>
                    <w:rPr>
                      <w:rFonts w:hint="eastAsia"/>
                      <w:color w:val="auto"/>
                      <w:highlight w:val="none"/>
                      <w:lang w:eastAsia="zh-CN"/>
                    </w:rPr>
                    <w:t>喷塑废气及胶带、PE带缠绕有机废气经布袋除尘器（TA003）去除喷塑粉尘后与胶带、PE带缠绕有机废气并引入1套二级活性炭吸附装置（TA004）+1根15m高排气筒（DA003）排放</w:t>
                  </w:r>
                </w:p>
              </w:tc>
              <w:tc>
                <w:tcPr>
                  <w:tcW w:w="1780" w:type="pct"/>
                  <w:vAlign w:val="center"/>
                </w:tcPr>
                <w:p w14:paraId="2BAC95DC">
                  <w:pPr>
                    <w:jc w:val="center"/>
                    <w:rPr>
                      <w:rFonts w:hint="default" w:ascii="Times New Roman" w:hAnsi="Times New Roman" w:eastAsia="宋体" w:cs="Times New Roman"/>
                      <w:color w:val="auto"/>
                      <w:sz w:val="21"/>
                      <w:szCs w:val="21"/>
                      <w:lang w:eastAsia="zh-CN"/>
                    </w:rPr>
                  </w:pPr>
                  <w:r>
                    <w:rPr>
                      <w:rFonts w:hint="eastAsia"/>
                      <w:color w:val="auto"/>
                      <w:highlight w:val="none"/>
                      <w:lang w:eastAsia="zh-CN"/>
                    </w:rPr>
                    <w:t>喷塑废气及胶带、PE带缠绕有机废气经布袋除尘器（TA003）去除喷塑粉尘后与胶带、PE带缠绕有机废气并引入1套二级活性炭吸附装置（TA004）+1根20m高排气筒（DA003）排放</w:t>
                  </w:r>
                </w:p>
              </w:tc>
              <w:tc>
                <w:tcPr>
                  <w:tcW w:w="462" w:type="pct"/>
                  <w:vAlign w:val="center"/>
                </w:tcPr>
                <w:p w14:paraId="5D38C6A2">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20</w:t>
                  </w:r>
                </w:p>
              </w:tc>
              <w:tc>
                <w:tcPr>
                  <w:tcW w:w="514" w:type="pct"/>
                  <w:vAlign w:val="center"/>
                </w:tcPr>
                <w:p w14:paraId="7AB883D2">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20</w:t>
                  </w:r>
                </w:p>
              </w:tc>
            </w:tr>
            <w:tr w14:paraId="4AE58A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vMerge w:val="continue"/>
                  <w:vAlign w:val="center"/>
                </w:tcPr>
                <w:p w14:paraId="5259AB2D">
                  <w:pPr>
                    <w:jc w:val="center"/>
                    <w:rPr>
                      <w:rFonts w:hint="default" w:ascii="Times New Roman" w:hAnsi="Times New Roman" w:cs="Times New Roman" w:eastAsiaTheme="minorEastAsia"/>
                      <w:b w:val="0"/>
                      <w:bCs/>
                      <w:color w:val="auto"/>
                      <w:sz w:val="21"/>
                      <w:szCs w:val="21"/>
                    </w:rPr>
                  </w:pPr>
                </w:p>
              </w:tc>
              <w:tc>
                <w:tcPr>
                  <w:tcW w:w="1783" w:type="pct"/>
                  <w:vAlign w:val="center"/>
                </w:tcPr>
                <w:p w14:paraId="0D9EDD06">
                  <w:pPr>
                    <w:jc w:val="center"/>
                    <w:rPr>
                      <w:rFonts w:hint="eastAsia"/>
                      <w:color w:val="auto"/>
                      <w:highlight w:val="none"/>
                      <w:lang w:eastAsia="zh-CN"/>
                    </w:rPr>
                  </w:pPr>
                  <w:r>
                    <w:rPr>
                      <w:rFonts w:hint="eastAsia"/>
                      <w:color w:val="auto"/>
                      <w:highlight w:val="none"/>
                      <w:lang w:eastAsia="zh-CN"/>
                    </w:rPr>
                    <w:t>调漆、喷漆、晾干废气经经干式过滤器去除漆雾后再导入套活性炭吸附（含双层过滤棉）+脱附+催化燃烧装置（TA005）+1根15m高排气筒（DA004）排放</w:t>
                  </w:r>
                </w:p>
              </w:tc>
              <w:tc>
                <w:tcPr>
                  <w:tcW w:w="1780" w:type="pct"/>
                  <w:vAlign w:val="center"/>
                </w:tcPr>
                <w:p w14:paraId="3C9053C2">
                  <w:pPr>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eastAsia="zh-CN"/>
                    </w:rPr>
                    <w:t>无</w:t>
                  </w:r>
                </w:p>
              </w:tc>
              <w:tc>
                <w:tcPr>
                  <w:tcW w:w="462" w:type="pct"/>
                  <w:vAlign w:val="center"/>
                </w:tcPr>
                <w:p w14:paraId="7DB8F657">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100</w:t>
                  </w:r>
                </w:p>
              </w:tc>
              <w:tc>
                <w:tcPr>
                  <w:tcW w:w="514" w:type="pct"/>
                  <w:vAlign w:val="center"/>
                </w:tcPr>
                <w:p w14:paraId="4D2BB8AB">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0</w:t>
                  </w:r>
                </w:p>
              </w:tc>
            </w:tr>
            <w:tr w14:paraId="004D81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pct"/>
                  <w:vMerge w:val="continue"/>
                  <w:vAlign w:val="center"/>
                </w:tcPr>
                <w:p w14:paraId="051FBF21">
                  <w:pPr>
                    <w:jc w:val="center"/>
                    <w:rPr>
                      <w:rFonts w:hint="default" w:ascii="Times New Roman" w:hAnsi="Times New Roman" w:cs="Times New Roman" w:eastAsiaTheme="minorEastAsia"/>
                      <w:b w:val="0"/>
                      <w:bCs/>
                      <w:color w:val="auto"/>
                      <w:sz w:val="21"/>
                      <w:szCs w:val="21"/>
                    </w:rPr>
                  </w:pPr>
                </w:p>
              </w:tc>
              <w:tc>
                <w:tcPr>
                  <w:tcW w:w="1783" w:type="pct"/>
                  <w:vAlign w:val="center"/>
                </w:tcPr>
                <w:p w14:paraId="26AB558A">
                  <w:pPr>
                    <w:jc w:val="center"/>
                    <w:rPr>
                      <w:rFonts w:hint="eastAsia"/>
                      <w:color w:val="auto"/>
                      <w:highlight w:val="none"/>
                      <w:lang w:eastAsia="zh-CN"/>
                    </w:rPr>
                  </w:pPr>
                  <w:r>
                    <w:rPr>
                      <w:rFonts w:hint="eastAsia"/>
                      <w:color w:val="auto"/>
                      <w:highlight w:val="none"/>
                      <w:lang w:eastAsia="zh-CN"/>
                    </w:rPr>
                    <w:t>食堂油烟经</w:t>
                  </w:r>
                  <w:r>
                    <w:rPr>
                      <w:rFonts w:hint="eastAsia"/>
                      <w:color w:val="auto"/>
                      <w:highlight w:val="none"/>
                      <w:lang w:val="en-US" w:eastAsia="zh-CN"/>
                    </w:rPr>
                    <w:t>1套</w:t>
                  </w:r>
                  <w:r>
                    <w:rPr>
                      <w:rFonts w:hint="eastAsia"/>
                      <w:color w:val="auto"/>
                      <w:highlight w:val="none"/>
                      <w:lang w:eastAsia="zh-CN"/>
                    </w:rPr>
                    <w:t>油烟净化器处理后，由专用烟道引至楼顶排放</w:t>
                  </w:r>
                </w:p>
              </w:tc>
              <w:tc>
                <w:tcPr>
                  <w:tcW w:w="1780" w:type="pct"/>
                  <w:vAlign w:val="center"/>
                </w:tcPr>
                <w:p w14:paraId="4D3DC828">
                  <w:pPr>
                    <w:jc w:val="center"/>
                    <w:rPr>
                      <w:rFonts w:hint="default" w:ascii="Times New Roman" w:hAnsi="Times New Roman" w:eastAsia="宋体" w:cs="Times New Roman"/>
                      <w:color w:val="auto"/>
                      <w:sz w:val="21"/>
                      <w:szCs w:val="21"/>
                      <w:lang w:eastAsia="zh-CN"/>
                    </w:rPr>
                  </w:pPr>
                  <w:r>
                    <w:rPr>
                      <w:rFonts w:hint="eastAsia"/>
                      <w:color w:val="auto"/>
                      <w:highlight w:val="none"/>
                      <w:lang w:eastAsia="zh-CN"/>
                    </w:rPr>
                    <w:t>无</w:t>
                  </w:r>
                </w:p>
              </w:tc>
              <w:tc>
                <w:tcPr>
                  <w:tcW w:w="462" w:type="pct"/>
                  <w:vAlign w:val="center"/>
                </w:tcPr>
                <w:p w14:paraId="10ABC61C">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4</w:t>
                  </w:r>
                </w:p>
              </w:tc>
              <w:tc>
                <w:tcPr>
                  <w:tcW w:w="514" w:type="pct"/>
                  <w:vAlign w:val="center"/>
                </w:tcPr>
                <w:p w14:paraId="5C580480">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0</w:t>
                  </w:r>
                </w:p>
              </w:tc>
            </w:tr>
            <w:tr w14:paraId="57BF12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460" w:type="pct"/>
                  <w:vAlign w:val="center"/>
                </w:tcPr>
                <w:p w14:paraId="37F15F91">
                  <w:pPr>
                    <w:jc w:val="center"/>
                    <w:rPr>
                      <w:rFonts w:hint="default" w:ascii="Times New Roman" w:hAnsi="Times New Roman" w:cs="Times New Roman" w:eastAsiaTheme="minorEastAsia"/>
                      <w:b w:val="0"/>
                      <w:bCs/>
                      <w:color w:val="auto"/>
                      <w:kern w:val="2"/>
                      <w:sz w:val="21"/>
                      <w:szCs w:val="21"/>
                      <w:lang w:val="en-US" w:eastAsia="zh-CN" w:bidi="ar-SA"/>
                    </w:rPr>
                  </w:pPr>
                  <w:r>
                    <w:rPr>
                      <w:rFonts w:hint="default" w:ascii="Times New Roman" w:hAnsi="Times New Roman" w:cs="Times New Roman" w:eastAsiaTheme="minorEastAsia"/>
                      <w:b w:val="0"/>
                      <w:bCs/>
                      <w:color w:val="auto"/>
                      <w:sz w:val="21"/>
                      <w:szCs w:val="21"/>
                    </w:rPr>
                    <w:t>废水</w:t>
                  </w:r>
                </w:p>
              </w:tc>
              <w:tc>
                <w:tcPr>
                  <w:tcW w:w="1783" w:type="pct"/>
                  <w:vAlign w:val="center"/>
                </w:tcPr>
                <w:p w14:paraId="133260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color w:val="auto"/>
                      <w:highlight w:val="none"/>
                      <w:lang w:val="en-US" w:eastAsia="zh-CN"/>
                    </w:rPr>
                    <w:t>隔油</w:t>
                  </w:r>
                  <w:r>
                    <w:rPr>
                      <w:rFonts w:hint="eastAsia"/>
                      <w:color w:val="auto"/>
                      <w:highlight w:val="none"/>
                      <w:lang w:val="en-US" w:eastAsia="zh-CN"/>
                    </w:rPr>
                    <w:t>池（</w:t>
                  </w:r>
                  <w:r>
                    <w:rPr>
                      <w:rFonts w:hint="default"/>
                      <w:color w:val="auto"/>
                      <w:highlight w:val="none"/>
                      <w:lang w:val="en-US" w:eastAsia="zh-CN"/>
                    </w:rPr>
                    <w:t>处理能力为10m</w:t>
                  </w:r>
                  <w:r>
                    <w:rPr>
                      <w:rFonts w:hint="default"/>
                      <w:color w:val="auto"/>
                      <w:highlight w:val="none"/>
                      <w:vertAlign w:val="superscript"/>
                      <w:lang w:val="en-US" w:eastAsia="zh-CN"/>
                    </w:rPr>
                    <w:t>3</w:t>
                  </w:r>
                  <w:r>
                    <w:rPr>
                      <w:rFonts w:hint="default"/>
                      <w:color w:val="auto"/>
                      <w:highlight w:val="none"/>
                      <w:lang w:val="en-US" w:eastAsia="zh-CN"/>
                    </w:rPr>
                    <w:t>/d</w:t>
                  </w:r>
                  <w:r>
                    <w:rPr>
                      <w:rFonts w:hint="eastAsia"/>
                      <w:color w:val="auto"/>
                      <w:highlight w:val="none"/>
                      <w:lang w:val="en-US" w:eastAsia="zh-CN"/>
                    </w:rPr>
                    <w:t>）+</w:t>
                  </w:r>
                  <w:r>
                    <w:rPr>
                      <w:rFonts w:hint="default"/>
                      <w:color w:val="auto"/>
                      <w:highlight w:val="none"/>
                      <w:lang w:val="en-US" w:eastAsia="zh-CN"/>
                    </w:rPr>
                    <w:t>化粪池</w:t>
                  </w:r>
                  <w:r>
                    <w:rPr>
                      <w:rFonts w:hint="eastAsia"/>
                      <w:color w:val="auto"/>
                      <w:highlight w:val="none"/>
                      <w:lang w:val="en-US" w:eastAsia="zh-CN"/>
                    </w:rPr>
                    <w:t>（</w:t>
                  </w:r>
                  <w:r>
                    <w:rPr>
                      <w:rFonts w:hint="default"/>
                      <w:color w:val="auto"/>
                      <w:highlight w:val="none"/>
                      <w:lang w:val="en-US" w:eastAsia="zh-CN"/>
                    </w:rPr>
                    <w:t>处理能力为20m</w:t>
                  </w:r>
                  <w:r>
                    <w:rPr>
                      <w:rFonts w:hint="default"/>
                      <w:color w:val="auto"/>
                      <w:highlight w:val="none"/>
                      <w:vertAlign w:val="superscript"/>
                      <w:lang w:val="en-US" w:eastAsia="zh-CN"/>
                    </w:rPr>
                    <w:t>3</w:t>
                  </w:r>
                  <w:r>
                    <w:rPr>
                      <w:rFonts w:hint="default"/>
                      <w:color w:val="auto"/>
                      <w:highlight w:val="none"/>
                      <w:lang w:val="en-US" w:eastAsia="zh-CN"/>
                    </w:rPr>
                    <w:t>/d</w:t>
                  </w:r>
                  <w:r>
                    <w:rPr>
                      <w:rFonts w:hint="eastAsia"/>
                      <w:color w:val="auto"/>
                      <w:highlight w:val="none"/>
                      <w:lang w:val="en-US" w:eastAsia="zh-CN"/>
                    </w:rPr>
                    <w:t>）</w:t>
                  </w:r>
                </w:p>
              </w:tc>
              <w:tc>
                <w:tcPr>
                  <w:tcW w:w="1780" w:type="pct"/>
                  <w:vAlign w:val="center"/>
                </w:tcPr>
                <w:p w14:paraId="5E7BAA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color w:val="auto"/>
                      <w:highlight w:val="none"/>
                      <w:lang w:val="en-US" w:eastAsia="zh-CN"/>
                    </w:rPr>
                    <w:t>化粪池</w:t>
                  </w:r>
                  <w:r>
                    <w:rPr>
                      <w:rFonts w:hint="eastAsia"/>
                      <w:color w:val="auto"/>
                      <w:highlight w:val="none"/>
                      <w:lang w:val="en-US" w:eastAsia="zh-CN"/>
                    </w:rPr>
                    <w:t>（</w:t>
                  </w:r>
                  <w:r>
                    <w:rPr>
                      <w:rFonts w:hint="default"/>
                      <w:color w:val="auto"/>
                      <w:highlight w:val="none"/>
                      <w:lang w:val="en-US" w:eastAsia="zh-CN"/>
                    </w:rPr>
                    <w:t>处理能力为20m</w:t>
                  </w:r>
                  <w:r>
                    <w:rPr>
                      <w:rFonts w:hint="default"/>
                      <w:color w:val="auto"/>
                      <w:highlight w:val="none"/>
                      <w:vertAlign w:val="superscript"/>
                      <w:lang w:val="en-US" w:eastAsia="zh-CN"/>
                    </w:rPr>
                    <w:t>3</w:t>
                  </w:r>
                  <w:r>
                    <w:rPr>
                      <w:rFonts w:hint="default"/>
                      <w:color w:val="auto"/>
                      <w:highlight w:val="none"/>
                      <w:lang w:val="en-US" w:eastAsia="zh-CN"/>
                    </w:rPr>
                    <w:t>/d</w:t>
                  </w:r>
                  <w:r>
                    <w:rPr>
                      <w:rFonts w:hint="eastAsia"/>
                      <w:color w:val="auto"/>
                      <w:highlight w:val="none"/>
                      <w:lang w:val="en-US" w:eastAsia="zh-CN"/>
                    </w:rPr>
                    <w:t>）</w:t>
                  </w:r>
                </w:p>
              </w:tc>
              <w:tc>
                <w:tcPr>
                  <w:tcW w:w="462" w:type="pct"/>
                  <w:vAlign w:val="center"/>
                </w:tcPr>
                <w:p w14:paraId="431D98EE">
                  <w:pPr>
                    <w:jc w:val="center"/>
                    <w:rPr>
                      <w:rFonts w:hint="default" w:ascii="Times New Roman" w:hAnsi="Times New Roman" w:cs="Times New Roman" w:eastAsiaTheme="minorEastAsia"/>
                      <w:b w:val="0"/>
                      <w:bCs/>
                      <w:color w:val="auto"/>
                      <w:kern w:val="2"/>
                      <w:sz w:val="21"/>
                      <w:szCs w:val="21"/>
                      <w:lang w:val="en-US" w:eastAsia="zh-CN" w:bidi="ar-SA"/>
                    </w:rPr>
                  </w:pPr>
                  <w:r>
                    <w:rPr>
                      <w:rFonts w:hint="eastAsia" w:cs="Times New Roman" w:eastAsiaTheme="minorEastAsia"/>
                      <w:b w:val="0"/>
                      <w:bCs/>
                      <w:color w:val="auto"/>
                      <w:kern w:val="2"/>
                      <w:sz w:val="21"/>
                      <w:szCs w:val="21"/>
                      <w:lang w:val="en-US" w:eastAsia="zh-CN" w:bidi="ar-SA"/>
                    </w:rPr>
                    <w:t>3</w:t>
                  </w:r>
                </w:p>
              </w:tc>
              <w:tc>
                <w:tcPr>
                  <w:tcW w:w="514" w:type="pct"/>
                  <w:vAlign w:val="center"/>
                </w:tcPr>
                <w:p w14:paraId="5702CDB5">
                  <w:pPr>
                    <w:jc w:val="center"/>
                    <w:rPr>
                      <w:rFonts w:hint="default" w:ascii="Times New Roman" w:hAnsi="Times New Roman" w:cs="Times New Roman" w:eastAsiaTheme="minorEastAsia"/>
                      <w:b w:val="0"/>
                      <w:bCs/>
                      <w:color w:val="auto"/>
                      <w:kern w:val="2"/>
                      <w:sz w:val="21"/>
                      <w:szCs w:val="21"/>
                      <w:lang w:val="en-US" w:eastAsia="zh-CN" w:bidi="ar-SA"/>
                    </w:rPr>
                  </w:pPr>
                  <w:r>
                    <w:rPr>
                      <w:rFonts w:hint="eastAsia" w:cs="Times New Roman" w:eastAsiaTheme="minorEastAsia"/>
                      <w:b w:val="0"/>
                      <w:bCs/>
                      <w:color w:val="auto"/>
                      <w:kern w:val="2"/>
                      <w:sz w:val="21"/>
                      <w:szCs w:val="21"/>
                      <w:lang w:val="en-US" w:eastAsia="zh-CN" w:bidi="ar-SA"/>
                    </w:rPr>
                    <w:t>2</w:t>
                  </w:r>
                </w:p>
              </w:tc>
            </w:tr>
            <w:tr w14:paraId="2AFD01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460" w:type="pct"/>
                  <w:vAlign w:val="center"/>
                </w:tcPr>
                <w:p w14:paraId="4E860B0A">
                  <w:pPr>
                    <w:jc w:val="center"/>
                    <w:rPr>
                      <w:rFonts w:hint="default" w:ascii="Times New Roman" w:hAnsi="Times New Roman" w:cs="Times New Roman" w:eastAsiaTheme="minorEastAsia"/>
                      <w:b w:val="0"/>
                      <w:bCs/>
                      <w:color w:val="auto"/>
                      <w:sz w:val="21"/>
                      <w:szCs w:val="21"/>
                    </w:rPr>
                  </w:pPr>
                  <w:r>
                    <w:rPr>
                      <w:rFonts w:hint="default" w:ascii="Times New Roman" w:hAnsi="Times New Roman" w:cs="Times New Roman" w:eastAsiaTheme="minorEastAsia"/>
                      <w:b w:val="0"/>
                      <w:bCs/>
                      <w:color w:val="auto"/>
                      <w:sz w:val="21"/>
                      <w:szCs w:val="21"/>
                    </w:rPr>
                    <w:t>噪声</w:t>
                  </w:r>
                </w:p>
              </w:tc>
              <w:tc>
                <w:tcPr>
                  <w:tcW w:w="1783" w:type="pct"/>
                  <w:vAlign w:val="center"/>
                </w:tcPr>
                <w:p w14:paraId="650D75F6">
                  <w:pPr>
                    <w:keepNext w:val="0"/>
                    <w:keepLines w:val="0"/>
                    <w:widowControl/>
                    <w:suppressLineNumbers w:val="0"/>
                    <w:jc w:val="center"/>
                    <w:rPr>
                      <w:rFonts w:hint="default" w:ascii="Times New Roman" w:hAnsi="Times New Roman" w:cs="Times New Roman"/>
                      <w:b w:val="0"/>
                      <w:bCs/>
                      <w:color w:val="auto"/>
                      <w:sz w:val="21"/>
                      <w:szCs w:val="21"/>
                    </w:rPr>
                  </w:pPr>
                  <w:r>
                    <w:rPr>
                      <w:rFonts w:hint="eastAsia"/>
                      <w:color w:val="auto"/>
                      <w:highlight w:val="none"/>
                      <w:lang w:eastAsia="zh-CN"/>
                    </w:rPr>
                    <w:t>低噪设备、减振降噪、墙壁隔声、厂界绿化等</w:t>
                  </w:r>
                </w:p>
              </w:tc>
              <w:tc>
                <w:tcPr>
                  <w:tcW w:w="1780" w:type="pct"/>
                  <w:vAlign w:val="center"/>
                </w:tcPr>
                <w:p w14:paraId="47C2AADE">
                  <w:pPr>
                    <w:widowControl/>
                    <w:jc w:val="center"/>
                    <w:rPr>
                      <w:rFonts w:hint="default" w:ascii="Times New Roman" w:hAnsi="Times New Roman" w:cs="Times New Roman"/>
                      <w:b w:val="0"/>
                      <w:bCs/>
                      <w:color w:val="auto"/>
                      <w:sz w:val="21"/>
                      <w:szCs w:val="21"/>
                    </w:rPr>
                  </w:pPr>
                  <w:r>
                    <w:rPr>
                      <w:rFonts w:hint="eastAsia"/>
                      <w:color w:val="auto"/>
                      <w:highlight w:val="none"/>
                      <w:lang w:eastAsia="zh-CN"/>
                    </w:rPr>
                    <w:t>低噪设备、减振降噪、墙壁隔声、厂界绿化等</w:t>
                  </w:r>
                </w:p>
              </w:tc>
              <w:tc>
                <w:tcPr>
                  <w:tcW w:w="462" w:type="pct"/>
                  <w:vAlign w:val="center"/>
                </w:tcPr>
                <w:p w14:paraId="4F61CCCE">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10</w:t>
                  </w:r>
                </w:p>
              </w:tc>
              <w:tc>
                <w:tcPr>
                  <w:tcW w:w="514" w:type="pct"/>
                  <w:vAlign w:val="center"/>
                </w:tcPr>
                <w:p w14:paraId="17120DC3">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10</w:t>
                  </w:r>
                </w:p>
              </w:tc>
            </w:tr>
            <w:tr w14:paraId="1B3832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0" w:type="pct"/>
                  <w:vAlign w:val="center"/>
                </w:tcPr>
                <w:p w14:paraId="082DE7F5">
                  <w:pPr>
                    <w:jc w:val="center"/>
                    <w:rPr>
                      <w:rFonts w:hint="default" w:ascii="Times New Roman" w:hAnsi="Times New Roman" w:cs="Times New Roman" w:eastAsiaTheme="minorEastAsia"/>
                      <w:b w:val="0"/>
                      <w:bCs/>
                      <w:color w:val="auto"/>
                      <w:sz w:val="21"/>
                      <w:szCs w:val="21"/>
                    </w:rPr>
                  </w:pPr>
                  <w:r>
                    <w:rPr>
                      <w:rFonts w:hint="default" w:ascii="Times New Roman" w:hAnsi="Times New Roman" w:cs="Times New Roman" w:eastAsiaTheme="minorEastAsia"/>
                      <w:b w:val="0"/>
                      <w:bCs/>
                      <w:color w:val="auto"/>
                      <w:sz w:val="21"/>
                      <w:szCs w:val="21"/>
                    </w:rPr>
                    <w:t>固废</w:t>
                  </w:r>
                </w:p>
              </w:tc>
              <w:tc>
                <w:tcPr>
                  <w:tcW w:w="1783" w:type="pct"/>
                  <w:vAlign w:val="center"/>
                </w:tcPr>
                <w:p w14:paraId="18E1F26D">
                  <w:pPr>
                    <w:topLinePunct/>
                    <w:jc w:val="center"/>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垃圾桶</w:t>
                  </w:r>
                  <w:r>
                    <w:rPr>
                      <w:rFonts w:hint="eastAsia" w:cs="Times New Roman"/>
                      <w:b w:val="0"/>
                      <w:bCs/>
                      <w:color w:val="auto"/>
                      <w:sz w:val="21"/>
                      <w:szCs w:val="21"/>
                      <w:lang w:eastAsia="zh-CN"/>
                    </w:rPr>
                    <w:t>、</w:t>
                  </w:r>
                  <w:r>
                    <w:rPr>
                      <w:rFonts w:hint="default" w:ascii="Times New Roman" w:hAnsi="Times New Roman" w:eastAsia="宋体" w:cs="Times New Roman"/>
                      <w:b w:val="0"/>
                      <w:bCs/>
                      <w:color w:val="auto"/>
                      <w:sz w:val="21"/>
                      <w:szCs w:val="21"/>
                      <w:lang w:eastAsia="zh-CN"/>
                    </w:rPr>
                    <w:t>一般固废暂存间（1个，占地200m</w:t>
                  </w:r>
                  <w:r>
                    <w:rPr>
                      <w:rFonts w:hint="default" w:ascii="Times New Roman" w:hAnsi="Times New Roman" w:eastAsia="宋体" w:cs="Times New Roman"/>
                      <w:b w:val="0"/>
                      <w:bCs/>
                      <w:color w:val="auto"/>
                      <w:sz w:val="21"/>
                      <w:szCs w:val="21"/>
                      <w:vertAlign w:val="superscript"/>
                      <w:lang w:eastAsia="zh-CN"/>
                    </w:rPr>
                    <w:t>2</w:t>
                  </w:r>
                  <w:r>
                    <w:rPr>
                      <w:rFonts w:hint="default" w:ascii="Times New Roman" w:hAnsi="Times New Roman" w:eastAsia="宋体" w:cs="Times New Roman"/>
                      <w:b w:val="0"/>
                      <w:bCs/>
                      <w:color w:val="auto"/>
                      <w:sz w:val="21"/>
                      <w:szCs w:val="21"/>
                      <w:lang w:eastAsia="zh-CN"/>
                    </w:rPr>
                    <w:t>）</w:t>
                  </w:r>
                  <w:r>
                    <w:rPr>
                      <w:rFonts w:hint="eastAsia" w:cs="Times New Roman"/>
                      <w:b w:val="0"/>
                      <w:bCs/>
                      <w:color w:val="auto"/>
                      <w:sz w:val="21"/>
                      <w:szCs w:val="21"/>
                      <w:lang w:eastAsia="zh-CN"/>
                    </w:rPr>
                    <w:t>、</w:t>
                  </w:r>
                  <w:r>
                    <w:rPr>
                      <w:rFonts w:hint="default" w:ascii="Times New Roman" w:hAnsi="Times New Roman" w:eastAsia="宋体" w:cs="Times New Roman"/>
                      <w:b w:val="0"/>
                      <w:bCs/>
                      <w:color w:val="auto"/>
                      <w:sz w:val="21"/>
                      <w:szCs w:val="21"/>
                      <w:lang w:eastAsia="zh-CN"/>
                    </w:rPr>
                    <w:t>危险废物暂存间（1个，占地10m</w:t>
                  </w:r>
                  <w:r>
                    <w:rPr>
                      <w:rFonts w:hint="default" w:ascii="Times New Roman" w:hAnsi="Times New Roman" w:eastAsia="宋体" w:cs="Times New Roman"/>
                      <w:b w:val="0"/>
                      <w:bCs/>
                      <w:color w:val="auto"/>
                      <w:sz w:val="21"/>
                      <w:szCs w:val="21"/>
                      <w:vertAlign w:val="superscript"/>
                      <w:lang w:eastAsia="zh-CN"/>
                    </w:rPr>
                    <w:t>2</w:t>
                  </w:r>
                  <w:r>
                    <w:rPr>
                      <w:rFonts w:hint="default" w:ascii="Times New Roman" w:hAnsi="Times New Roman" w:eastAsia="宋体" w:cs="Times New Roman"/>
                      <w:b w:val="0"/>
                      <w:bCs/>
                      <w:color w:val="auto"/>
                      <w:sz w:val="21"/>
                      <w:szCs w:val="21"/>
                      <w:lang w:eastAsia="zh-CN"/>
                    </w:rPr>
                    <w:t>）</w:t>
                  </w:r>
                </w:p>
              </w:tc>
              <w:tc>
                <w:tcPr>
                  <w:tcW w:w="1780" w:type="pct"/>
                  <w:vAlign w:val="center"/>
                </w:tcPr>
                <w:p w14:paraId="779BA23B">
                  <w:pPr>
                    <w:keepNext w:val="0"/>
                    <w:keepLines w:val="0"/>
                    <w:pageBreakBefore w:val="0"/>
                    <w:widowControl w:val="0"/>
                    <w:kinsoku/>
                    <w:wordWrap/>
                    <w:overflowPunct/>
                    <w:topLinePunct/>
                    <w:autoSpaceDE/>
                    <w:autoSpaceDN/>
                    <w:bidi w:val="0"/>
                    <w:adjustRightInd/>
                    <w:snapToGrid/>
                    <w:jc w:val="center"/>
                    <w:textAlignment w:val="auto"/>
                    <w:rPr>
                      <w:rFonts w:hint="default" w:ascii="Times New Roman" w:hAnsi="Times New Roman" w:cs="Times New Roman"/>
                      <w:b w:val="0"/>
                      <w:bCs/>
                      <w:color w:val="auto"/>
                      <w:sz w:val="21"/>
                      <w:szCs w:val="21"/>
                    </w:rPr>
                  </w:pPr>
                  <w:r>
                    <w:rPr>
                      <w:rFonts w:hint="default" w:ascii="Times New Roman" w:hAnsi="Times New Roman" w:eastAsia="宋体" w:cs="Times New Roman"/>
                      <w:b w:val="0"/>
                      <w:bCs/>
                      <w:color w:val="auto"/>
                      <w:sz w:val="21"/>
                      <w:szCs w:val="21"/>
                      <w:lang w:eastAsia="zh-CN"/>
                    </w:rPr>
                    <w:t>垃圾桶</w:t>
                  </w:r>
                  <w:r>
                    <w:rPr>
                      <w:rFonts w:hint="eastAsia" w:cs="Times New Roman"/>
                      <w:b w:val="0"/>
                      <w:bCs/>
                      <w:color w:val="auto"/>
                      <w:sz w:val="21"/>
                      <w:szCs w:val="21"/>
                      <w:lang w:eastAsia="zh-CN"/>
                    </w:rPr>
                    <w:t>、</w:t>
                  </w:r>
                  <w:r>
                    <w:rPr>
                      <w:rFonts w:hint="default" w:ascii="Times New Roman" w:hAnsi="Times New Roman" w:eastAsia="宋体" w:cs="Times New Roman"/>
                      <w:b w:val="0"/>
                      <w:bCs/>
                      <w:color w:val="auto"/>
                      <w:sz w:val="21"/>
                      <w:szCs w:val="21"/>
                      <w:lang w:eastAsia="zh-CN"/>
                    </w:rPr>
                    <w:t>一般固废暂存间（1个，占地200m</w:t>
                  </w:r>
                  <w:r>
                    <w:rPr>
                      <w:rFonts w:hint="default" w:ascii="Times New Roman" w:hAnsi="Times New Roman" w:eastAsia="宋体" w:cs="Times New Roman"/>
                      <w:b w:val="0"/>
                      <w:bCs/>
                      <w:color w:val="auto"/>
                      <w:sz w:val="21"/>
                      <w:szCs w:val="21"/>
                      <w:vertAlign w:val="superscript"/>
                      <w:lang w:eastAsia="zh-CN"/>
                    </w:rPr>
                    <w:t>2</w:t>
                  </w:r>
                  <w:r>
                    <w:rPr>
                      <w:rFonts w:hint="default" w:ascii="Times New Roman" w:hAnsi="Times New Roman" w:eastAsia="宋体" w:cs="Times New Roman"/>
                      <w:b w:val="0"/>
                      <w:bCs/>
                      <w:color w:val="auto"/>
                      <w:sz w:val="21"/>
                      <w:szCs w:val="21"/>
                      <w:lang w:eastAsia="zh-CN"/>
                    </w:rPr>
                    <w:t>）</w:t>
                  </w:r>
                  <w:r>
                    <w:rPr>
                      <w:rFonts w:hint="eastAsia" w:cs="Times New Roman"/>
                      <w:b w:val="0"/>
                      <w:bCs/>
                      <w:color w:val="auto"/>
                      <w:sz w:val="21"/>
                      <w:szCs w:val="21"/>
                      <w:lang w:eastAsia="zh-CN"/>
                    </w:rPr>
                    <w:t>、</w:t>
                  </w:r>
                  <w:r>
                    <w:rPr>
                      <w:rFonts w:hint="default" w:ascii="Times New Roman" w:hAnsi="Times New Roman" w:eastAsia="宋体" w:cs="Times New Roman"/>
                      <w:b w:val="0"/>
                      <w:bCs/>
                      <w:color w:val="auto"/>
                      <w:sz w:val="21"/>
                      <w:szCs w:val="21"/>
                      <w:lang w:eastAsia="zh-CN"/>
                    </w:rPr>
                    <w:t>危险废物暂存间（1个，占地10m</w:t>
                  </w:r>
                  <w:r>
                    <w:rPr>
                      <w:rFonts w:hint="default" w:ascii="Times New Roman" w:hAnsi="Times New Roman" w:eastAsia="宋体" w:cs="Times New Roman"/>
                      <w:b w:val="0"/>
                      <w:bCs/>
                      <w:color w:val="auto"/>
                      <w:sz w:val="21"/>
                      <w:szCs w:val="21"/>
                      <w:vertAlign w:val="superscript"/>
                      <w:lang w:eastAsia="zh-CN"/>
                    </w:rPr>
                    <w:t>2</w:t>
                  </w:r>
                  <w:r>
                    <w:rPr>
                      <w:rFonts w:hint="default" w:ascii="Times New Roman" w:hAnsi="Times New Roman" w:eastAsia="宋体" w:cs="Times New Roman"/>
                      <w:b w:val="0"/>
                      <w:bCs/>
                      <w:color w:val="auto"/>
                      <w:sz w:val="21"/>
                      <w:szCs w:val="21"/>
                      <w:lang w:eastAsia="zh-CN"/>
                    </w:rPr>
                    <w:t>）</w:t>
                  </w:r>
                </w:p>
              </w:tc>
              <w:tc>
                <w:tcPr>
                  <w:tcW w:w="462" w:type="pct"/>
                  <w:vAlign w:val="center"/>
                </w:tcPr>
                <w:p w14:paraId="4DAE3484">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2.5</w:t>
                  </w:r>
                </w:p>
              </w:tc>
              <w:tc>
                <w:tcPr>
                  <w:tcW w:w="514" w:type="pct"/>
                  <w:vAlign w:val="center"/>
                </w:tcPr>
                <w:p w14:paraId="4F554607">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2.5</w:t>
                  </w:r>
                </w:p>
              </w:tc>
            </w:tr>
            <w:tr w14:paraId="6B3D2D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0" w:type="pct"/>
                  <w:vAlign w:val="center"/>
                </w:tcPr>
                <w:p w14:paraId="682E9E12">
                  <w:pPr>
                    <w:topLinePunct/>
                    <w:jc w:val="center"/>
                    <w:rPr>
                      <w:rFonts w:hint="default" w:ascii="Times New Roman" w:hAnsi="Times New Roman" w:cs="Times New Roman" w:eastAsiaTheme="minorEastAsia"/>
                      <w:b w:val="0"/>
                      <w:bCs/>
                      <w:color w:val="auto"/>
                      <w:sz w:val="21"/>
                      <w:szCs w:val="21"/>
                    </w:rPr>
                  </w:pPr>
                  <w:r>
                    <w:rPr>
                      <w:rFonts w:hint="default" w:ascii="Times New Roman" w:hAnsi="Times New Roman" w:eastAsia="宋体" w:cs="Times New Roman"/>
                      <w:b w:val="0"/>
                      <w:bCs w:val="0"/>
                      <w:color w:val="auto"/>
                      <w:sz w:val="21"/>
                      <w:szCs w:val="21"/>
                      <w:lang w:eastAsia="zh-CN"/>
                    </w:rPr>
                    <w:t>地下水</w:t>
                  </w:r>
                </w:p>
              </w:tc>
              <w:tc>
                <w:tcPr>
                  <w:tcW w:w="1783" w:type="pct"/>
                  <w:vAlign w:val="center"/>
                </w:tcPr>
                <w:p w14:paraId="341D4372">
                  <w:pPr>
                    <w:topLinePunct/>
                    <w:jc w:val="center"/>
                    <w:rPr>
                      <w:rFonts w:hint="default" w:ascii="Times New Roman" w:hAnsi="Times New Roman" w:cs="Times New Roman"/>
                      <w:color w:val="auto"/>
                      <w:sz w:val="21"/>
                      <w:szCs w:val="21"/>
                      <w:lang w:eastAsia="zh-CN"/>
                    </w:rPr>
                  </w:pPr>
                  <w:r>
                    <w:rPr>
                      <w:rFonts w:hint="eastAsia" w:cs="Times New Roman"/>
                      <w:color w:val="auto"/>
                      <w:sz w:val="21"/>
                      <w:szCs w:val="21"/>
                      <w:lang w:eastAsia="zh-CN"/>
                    </w:rPr>
                    <w:t>分区防渗</w:t>
                  </w:r>
                </w:p>
              </w:tc>
              <w:tc>
                <w:tcPr>
                  <w:tcW w:w="1780" w:type="pct"/>
                  <w:vAlign w:val="center"/>
                </w:tcPr>
                <w:p w14:paraId="1E59DE1A">
                  <w:pPr>
                    <w:topLinePunct/>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eastAsia="zh-CN"/>
                    </w:rPr>
                    <w:t>分区防渗</w:t>
                  </w:r>
                </w:p>
              </w:tc>
              <w:tc>
                <w:tcPr>
                  <w:tcW w:w="462" w:type="pct"/>
                  <w:vAlign w:val="center"/>
                </w:tcPr>
                <w:p w14:paraId="0EF8769F">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20</w:t>
                  </w:r>
                </w:p>
              </w:tc>
              <w:tc>
                <w:tcPr>
                  <w:tcW w:w="514" w:type="pct"/>
                  <w:vAlign w:val="center"/>
                </w:tcPr>
                <w:p w14:paraId="7048B730">
                  <w:pPr>
                    <w:jc w:val="center"/>
                    <w:rPr>
                      <w:rFonts w:hint="default" w:eastAsiaTheme="minorEastAsia"/>
                      <w:b w:val="0"/>
                      <w:bCs/>
                      <w:color w:val="auto"/>
                      <w:sz w:val="21"/>
                      <w:szCs w:val="21"/>
                      <w:lang w:val="en-US" w:eastAsia="zh-CN"/>
                    </w:rPr>
                  </w:pPr>
                  <w:r>
                    <w:rPr>
                      <w:rFonts w:hint="eastAsia" w:eastAsiaTheme="minorEastAsia"/>
                      <w:b w:val="0"/>
                      <w:bCs/>
                      <w:color w:val="auto"/>
                      <w:sz w:val="21"/>
                      <w:szCs w:val="21"/>
                      <w:lang w:val="en-US" w:eastAsia="zh-CN"/>
                    </w:rPr>
                    <w:t>20</w:t>
                  </w:r>
                </w:p>
              </w:tc>
            </w:tr>
            <w:tr w14:paraId="5EA3E1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23" w:type="pct"/>
                  <w:gridSpan w:val="3"/>
                  <w:vAlign w:val="center"/>
                </w:tcPr>
                <w:p w14:paraId="2B4C9764">
                  <w:pPr>
                    <w:topLinePunct/>
                    <w:jc w:val="center"/>
                    <w:rPr>
                      <w:rFonts w:hint="eastAsia" w:cs="Times New Roman"/>
                      <w:color w:val="auto"/>
                      <w:sz w:val="21"/>
                      <w:szCs w:val="21"/>
                      <w:lang w:eastAsia="zh-CN"/>
                    </w:rPr>
                  </w:pPr>
                  <w:r>
                    <w:rPr>
                      <w:rFonts w:hint="eastAsia"/>
                      <w:color w:val="auto"/>
                      <w:sz w:val="21"/>
                      <w:szCs w:val="21"/>
                      <w:lang w:eastAsia="zh-CN"/>
                    </w:rPr>
                    <w:t>合计</w:t>
                  </w:r>
                </w:p>
              </w:tc>
              <w:tc>
                <w:tcPr>
                  <w:tcW w:w="462" w:type="pct"/>
                  <w:vAlign w:val="center"/>
                </w:tcPr>
                <w:p w14:paraId="5820C9DB">
                  <w:pPr>
                    <w:jc w:val="center"/>
                    <w:rPr>
                      <w:rFonts w:hint="eastAsia" w:eastAsiaTheme="minorEastAsia"/>
                      <w:b w:val="0"/>
                      <w:bCs/>
                      <w:color w:val="auto"/>
                      <w:sz w:val="21"/>
                      <w:szCs w:val="21"/>
                      <w:lang w:val="en-US" w:eastAsia="zh-CN"/>
                    </w:rPr>
                  </w:pPr>
                  <w:r>
                    <w:rPr>
                      <w:rFonts w:hint="eastAsia" w:eastAsiaTheme="minorEastAsia"/>
                      <w:b w:val="0"/>
                      <w:bCs/>
                      <w:color w:val="auto"/>
                      <w:sz w:val="21"/>
                      <w:szCs w:val="21"/>
                      <w:lang w:val="en-US" w:eastAsia="zh-CN"/>
                    </w:rPr>
                    <w:fldChar w:fldCharType="begin"/>
                  </w:r>
                  <w:r>
                    <w:rPr>
                      <w:rFonts w:hint="eastAsia" w:eastAsiaTheme="minorEastAsia"/>
                      <w:b w:val="0"/>
                      <w:bCs/>
                      <w:color w:val="auto"/>
                      <w:sz w:val="21"/>
                      <w:szCs w:val="21"/>
                      <w:lang w:val="en-US" w:eastAsia="zh-CN"/>
                    </w:rPr>
                    <w:instrText xml:space="preserve"> = sum(D2:D11) \* MERGEFORMAT </w:instrText>
                  </w:r>
                  <w:r>
                    <w:rPr>
                      <w:rFonts w:hint="eastAsia" w:eastAsiaTheme="minorEastAsia"/>
                      <w:b w:val="0"/>
                      <w:bCs/>
                      <w:color w:val="auto"/>
                      <w:sz w:val="21"/>
                      <w:szCs w:val="21"/>
                      <w:lang w:val="en-US" w:eastAsia="zh-CN"/>
                    </w:rPr>
                    <w:fldChar w:fldCharType="separate"/>
                  </w:r>
                  <w:r>
                    <w:rPr>
                      <w:rFonts w:hint="eastAsia" w:eastAsiaTheme="minorEastAsia"/>
                      <w:b w:val="0"/>
                      <w:bCs/>
                      <w:color w:val="auto"/>
                      <w:sz w:val="21"/>
                      <w:szCs w:val="21"/>
                      <w:lang w:val="en-US" w:eastAsia="zh-CN"/>
                    </w:rPr>
                    <w:t>169.5</w:t>
                  </w:r>
                  <w:r>
                    <w:rPr>
                      <w:rFonts w:hint="eastAsia" w:eastAsiaTheme="minorEastAsia"/>
                      <w:b w:val="0"/>
                      <w:bCs/>
                      <w:color w:val="auto"/>
                      <w:sz w:val="21"/>
                      <w:szCs w:val="21"/>
                      <w:lang w:val="en-US" w:eastAsia="zh-CN"/>
                    </w:rPr>
                    <w:fldChar w:fldCharType="end"/>
                  </w:r>
                </w:p>
              </w:tc>
              <w:tc>
                <w:tcPr>
                  <w:tcW w:w="514" w:type="pct"/>
                  <w:vAlign w:val="center"/>
                </w:tcPr>
                <w:p w14:paraId="74EEDA91">
                  <w:pPr>
                    <w:jc w:val="center"/>
                    <w:rPr>
                      <w:rFonts w:hint="eastAsia" w:eastAsiaTheme="minorEastAsia"/>
                      <w:b w:val="0"/>
                      <w:bCs/>
                      <w:color w:val="auto"/>
                      <w:sz w:val="21"/>
                      <w:szCs w:val="21"/>
                      <w:lang w:val="en-US" w:eastAsia="zh-CN"/>
                    </w:rPr>
                  </w:pPr>
                  <w:r>
                    <w:rPr>
                      <w:rFonts w:hint="eastAsia" w:eastAsiaTheme="minorEastAsia"/>
                      <w:b w:val="0"/>
                      <w:bCs/>
                      <w:color w:val="auto"/>
                      <w:sz w:val="21"/>
                      <w:szCs w:val="21"/>
                      <w:lang w:val="en-US" w:eastAsia="zh-CN"/>
                    </w:rPr>
                    <w:fldChar w:fldCharType="begin"/>
                  </w:r>
                  <w:r>
                    <w:rPr>
                      <w:rFonts w:hint="eastAsia" w:eastAsiaTheme="minorEastAsia"/>
                      <w:b w:val="0"/>
                      <w:bCs/>
                      <w:color w:val="auto"/>
                      <w:sz w:val="21"/>
                      <w:szCs w:val="21"/>
                      <w:lang w:val="en-US" w:eastAsia="zh-CN"/>
                    </w:rPr>
                    <w:instrText xml:space="preserve"> = sum(E2:E11) \* MERGEFORMAT </w:instrText>
                  </w:r>
                  <w:r>
                    <w:rPr>
                      <w:rFonts w:hint="eastAsia" w:eastAsiaTheme="minorEastAsia"/>
                      <w:b w:val="0"/>
                      <w:bCs/>
                      <w:color w:val="auto"/>
                      <w:sz w:val="21"/>
                      <w:szCs w:val="21"/>
                      <w:lang w:val="en-US" w:eastAsia="zh-CN"/>
                    </w:rPr>
                    <w:fldChar w:fldCharType="separate"/>
                  </w:r>
                  <w:r>
                    <w:rPr>
                      <w:rFonts w:hint="eastAsia" w:eastAsiaTheme="minorEastAsia"/>
                      <w:b w:val="0"/>
                      <w:bCs/>
                      <w:color w:val="auto"/>
                      <w:sz w:val="21"/>
                      <w:szCs w:val="21"/>
                      <w:lang w:val="en-US" w:eastAsia="zh-CN"/>
                    </w:rPr>
                    <w:t>65.5</w:t>
                  </w:r>
                  <w:r>
                    <w:rPr>
                      <w:rFonts w:hint="eastAsia" w:eastAsiaTheme="minorEastAsia"/>
                      <w:b w:val="0"/>
                      <w:bCs/>
                      <w:color w:val="auto"/>
                      <w:sz w:val="21"/>
                      <w:szCs w:val="21"/>
                      <w:lang w:val="en-US" w:eastAsia="zh-CN"/>
                    </w:rPr>
                    <w:fldChar w:fldCharType="end"/>
                  </w:r>
                </w:p>
              </w:tc>
            </w:tr>
          </w:tbl>
          <w:p w14:paraId="291D6BDE">
            <w:pPr>
              <w:spacing w:line="360" w:lineRule="auto"/>
              <w:rPr>
                <w:rFonts w:hint="eastAsia"/>
                <w:bCs/>
                <w:color w:val="auto"/>
                <w:sz w:val="24"/>
                <w:lang w:eastAsia="zh-CN"/>
              </w:rPr>
            </w:pPr>
          </w:p>
          <w:p w14:paraId="3C355AB1">
            <w:pPr>
              <w:spacing w:line="360" w:lineRule="auto"/>
              <w:rPr>
                <w:rFonts w:hint="eastAsia" w:eastAsia="宋体"/>
                <w:bCs/>
                <w:color w:val="auto"/>
                <w:sz w:val="24"/>
                <w:lang w:eastAsia="zh-CN"/>
              </w:rPr>
            </w:pPr>
          </w:p>
        </w:tc>
      </w:tr>
    </w:tbl>
    <w:p w14:paraId="15545F5E">
      <w:pPr>
        <w:pStyle w:val="7"/>
        <w:rPr>
          <w:b w:val="0"/>
          <w:bCs/>
          <w:color w:val="auto"/>
          <w:szCs w:val="24"/>
          <w:highlight w:val="none"/>
        </w:rPr>
      </w:pPr>
      <w:bookmarkStart w:id="4" w:name="_Toc523906058"/>
      <w:r>
        <w:rPr>
          <w:color w:val="auto"/>
          <w:highlight w:val="none"/>
        </w:rPr>
        <w:t>表</w:t>
      </w:r>
      <w:r>
        <w:rPr>
          <w:rFonts w:hint="eastAsia"/>
          <w:color w:val="auto"/>
          <w:highlight w:val="none"/>
        </w:rPr>
        <w:t>四</w:t>
      </w:r>
      <w:r>
        <w:rPr>
          <w:color w:val="auto"/>
          <w:highlight w:val="none"/>
        </w:rPr>
        <w:t xml:space="preserve">  </w:t>
      </w:r>
      <w:r>
        <w:rPr>
          <w:rFonts w:hint="eastAsia" w:ascii="宋体" w:hAnsi="宋体"/>
          <w:color w:val="auto"/>
          <w:highlight w:val="none"/>
        </w:rPr>
        <w:t>环境影响报告表主要结论与建议及其审批部门审批决定</w:t>
      </w:r>
      <w:bookmarkEnd w:id="4"/>
    </w:p>
    <w:tbl>
      <w:tblPr>
        <w:tblStyle w:val="34"/>
        <w:tblW w:w="9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6"/>
      </w:tblGrid>
      <w:tr w14:paraId="05C0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3" w:hRule="atLeast"/>
        </w:trPr>
        <w:tc>
          <w:tcPr>
            <w:tcW w:w="9626" w:type="dxa"/>
            <w:shd w:val="clear" w:color="auto" w:fill="auto"/>
          </w:tcPr>
          <w:p w14:paraId="5BD2AC01">
            <w:pPr>
              <w:keepNext w:val="0"/>
              <w:keepLines w:val="0"/>
              <w:pageBreakBefore w:val="0"/>
              <w:widowControl w:val="0"/>
              <w:kinsoku/>
              <w:wordWrap/>
              <w:overflowPunct/>
              <w:topLinePunct w:val="0"/>
              <w:autoSpaceDE/>
              <w:autoSpaceDN/>
              <w:bidi w:val="0"/>
              <w:spacing w:line="360" w:lineRule="auto"/>
              <w:textAlignment w:val="auto"/>
              <w:rPr>
                <w:b/>
                <w:color w:val="auto"/>
                <w:kern w:val="0"/>
                <w:sz w:val="24"/>
              </w:rPr>
            </w:pPr>
            <w:r>
              <w:rPr>
                <w:rFonts w:hint="eastAsia"/>
                <w:b/>
                <w:color w:val="auto"/>
                <w:kern w:val="0"/>
                <w:sz w:val="24"/>
              </w:rPr>
              <w:t>4.1 建设项目环境影响报告表的主要结论与建议</w:t>
            </w:r>
          </w:p>
          <w:p w14:paraId="58CEE8AC">
            <w:pPr>
              <w:keepNext w:val="0"/>
              <w:keepLines w:val="0"/>
              <w:pageBreakBefore w:val="0"/>
              <w:widowControl w:val="0"/>
              <w:kinsoku/>
              <w:wordWrap/>
              <w:overflowPunct/>
              <w:topLinePunct w:val="0"/>
              <w:autoSpaceDE/>
              <w:autoSpaceDN/>
              <w:bidi w:val="0"/>
              <w:spacing w:line="360" w:lineRule="auto"/>
              <w:textAlignment w:val="auto"/>
              <w:rPr>
                <w:b/>
                <w:color w:val="auto"/>
                <w:kern w:val="0"/>
                <w:sz w:val="24"/>
              </w:rPr>
            </w:pPr>
            <w:r>
              <w:rPr>
                <w:rFonts w:hint="eastAsia"/>
                <w:b/>
                <w:color w:val="auto"/>
                <w:kern w:val="0"/>
                <w:sz w:val="24"/>
              </w:rPr>
              <w:t>4.1.1  废水污染防治措施</w:t>
            </w:r>
          </w:p>
          <w:p w14:paraId="11A102D5">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bCs/>
                <w:color w:val="auto"/>
                <w:sz w:val="24"/>
                <w:szCs w:val="24"/>
                <w:lang w:val="en-US" w:eastAsia="zh-CN"/>
              </w:rPr>
            </w:pPr>
            <w:r>
              <w:rPr>
                <w:rFonts w:hint="eastAsia"/>
                <w:color w:val="auto"/>
                <w:sz w:val="24"/>
                <w:szCs w:val="24"/>
                <w:highlight w:val="none"/>
              </w:rPr>
              <w:t>本项目运营期</w:t>
            </w:r>
            <w:r>
              <w:rPr>
                <w:color w:val="auto"/>
                <w:sz w:val="24"/>
              </w:rPr>
              <w:t>无生产废水外排</w:t>
            </w:r>
            <w:r>
              <w:rPr>
                <w:rFonts w:hint="default" w:ascii="Times New Roman" w:hAnsi="Times New Roman" w:eastAsia="宋体" w:cs="Times New Roman"/>
                <w:bCs/>
                <w:color w:val="auto"/>
                <w:sz w:val="24"/>
                <w:szCs w:val="24"/>
                <w:lang w:eastAsia="zh-CN"/>
              </w:rPr>
              <w:t>，</w:t>
            </w:r>
            <w:r>
              <w:rPr>
                <w:rFonts w:hint="default" w:ascii="Times New Roman" w:hAnsi="Times New Roman" w:eastAsia="宋体" w:cs="Times New Roman"/>
                <w:bCs/>
                <w:color w:val="auto"/>
                <w:sz w:val="24"/>
                <w:szCs w:val="24"/>
                <w:lang w:val="en-US" w:eastAsia="zh-CN"/>
              </w:rPr>
              <w:t>生活污水经化粪池处理</w:t>
            </w:r>
            <w:r>
              <w:rPr>
                <w:rFonts w:hint="eastAsia" w:cs="Times New Roman"/>
                <w:bCs/>
                <w:color w:val="auto"/>
                <w:sz w:val="24"/>
                <w:szCs w:val="24"/>
                <w:lang w:val="en-US" w:eastAsia="zh-CN"/>
              </w:rPr>
              <w:t>达到</w:t>
            </w:r>
            <w:r>
              <w:rPr>
                <w:rFonts w:hint="eastAsia"/>
                <w:color w:val="auto"/>
                <w:sz w:val="24"/>
                <w:szCs w:val="24"/>
                <w:lang w:eastAsia="zh-CN"/>
              </w:rPr>
              <w:t>武阳创业园污水处理厂接管标准和《污水综合排放标准》（</w:t>
            </w:r>
            <w:r>
              <w:rPr>
                <w:rFonts w:hint="eastAsia"/>
                <w:color w:val="auto"/>
                <w:sz w:val="24"/>
                <w:szCs w:val="24"/>
                <w:lang w:val="en-US" w:eastAsia="zh-CN"/>
              </w:rPr>
              <w:t>GB8978-1996</w:t>
            </w:r>
            <w:r>
              <w:rPr>
                <w:rFonts w:hint="eastAsia"/>
                <w:color w:val="auto"/>
                <w:sz w:val="24"/>
                <w:szCs w:val="24"/>
                <w:lang w:eastAsia="zh-CN"/>
              </w:rPr>
              <w:t>）表</w:t>
            </w:r>
            <w:r>
              <w:rPr>
                <w:rFonts w:hint="eastAsia"/>
                <w:color w:val="auto"/>
                <w:sz w:val="24"/>
                <w:szCs w:val="24"/>
                <w:lang w:val="en-US" w:eastAsia="zh-CN"/>
              </w:rPr>
              <w:t>4中三级标准</w:t>
            </w:r>
            <w:r>
              <w:rPr>
                <w:rFonts w:hint="default" w:ascii="Times New Roman" w:hAnsi="Times New Roman" w:eastAsia="宋体" w:cs="Times New Roman"/>
                <w:bCs/>
                <w:color w:val="auto"/>
                <w:sz w:val="24"/>
                <w:szCs w:val="24"/>
                <w:lang w:val="en-US" w:eastAsia="zh-CN"/>
              </w:rPr>
              <w:t>后通过园区污水管网入武阳创业园污水处理厂深度处理，武阳创业园污水处理厂处理达标后尾水排入清丰山溪。</w:t>
            </w:r>
          </w:p>
          <w:p w14:paraId="50910A90">
            <w:pPr>
              <w:keepNext w:val="0"/>
              <w:keepLines w:val="0"/>
              <w:pageBreakBefore w:val="0"/>
              <w:widowControl w:val="0"/>
              <w:kinsoku/>
              <w:wordWrap/>
              <w:overflowPunct/>
              <w:topLinePunct w:val="0"/>
              <w:autoSpaceDE/>
              <w:autoSpaceDN/>
              <w:bidi w:val="0"/>
              <w:spacing w:line="360" w:lineRule="auto"/>
              <w:textAlignment w:val="auto"/>
              <w:rPr>
                <w:b/>
                <w:color w:val="auto"/>
                <w:kern w:val="0"/>
                <w:sz w:val="24"/>
              </w:rPr>
            </w:pPr>
            <w:r>
              <w:rPr>
                <w:rFonts w:hint="eastAsia"/>
                <w:b/>
                <w:color w:val="auto"/>
                <w:kern w:val="0"/>
                <w:sz w:val="24"/>
              </w:rPr>
              <w:t>4.1.2  废气污染防治措施</w:t>
            </w:r>
          </w:p>
          <w:p w14:paraId="09680AB7">
            <w:pPr>
              <w:adjustRightInd w:val="0"/>
              <w:snapToGrid w:val="0"/>
              <w:spacing w:line="360" w:lineRule="auto"/>
              <w:ind w:firstLine="480" w:firstLineChars="200"/>
              <w:jc w:val="both"/>
              <w:rPr>
                <w:rFonts w:hint="eastAsia"/>
                <w:color w:val="auto"/>
                <w:sz w:val="24"/>
                <w:szCs w:val="24"/>
              </w:rPr>
            </w:pPr>
            <w:r>
              <w:rPr>
                <w:rFonts w:hint="eastAsia"/>
                <w:color w:val="auto"/>
                <w:sz w:val="24"/>
                <w:szCs w:val="24"/>
                <w:lang w:eastAsia="zh-CN"/>
              </w:rPr>
              <w:t>本项目圆盘剪铣边、飞剪、平头倒棱金属粉尘采用防尘挡板、自然沉降作无组织排放；焊接烟尘经布袋除尘器（TA001）+1根20m排气筒（DA001）排放；抛丸粉尘经设备自带布袋除尘器（TA002）+1根20m排气筒（DA002）排放；喷塑废气及胶带、PE带缠绕有机废气经布袋除尘器（TA003）去除喷塑粉尘后与胶带、PE带缠绕有机废气并引入1套二级活性炭吸附装置（TA004）+1根20m高排气筒（DA003）排放。</w:t>
            </w:r>
          </w:p>
          <w:p w14:paraId="749F5B48">
            <w:pPr>
              <w:adjustRightInd w:val="0"/>
              <w:snapToGrid w:val="0"/>
              <w:spacing w:line="360" w:lineRule="auto"/>
              <w:ind w:firstLine="480" w:firstLineChars="200"/>
              <w:jc w:val="both"/>
              <w:rPr>
                <w:rFonts w:hint="eastAsia" w:eastAsia="宋体"/>
                <w:color w:val="auto"/>
                <w:sz w:val="24"/>
                <w:szCs w:val="24"/>
                <w:lang w:eastAsia="zh-CN"/>
              </w:rPr>
            </w:pPr>
            <w:r>
              <w:rPr>
                <w:rFonts w:hint="eastAsia"/>
                <w:color w:val="auto"/>
                <w:sz w:val="24"/>
                <w:szCs w:val="24"/>
                <w:lang w:eastAsia="zh-CN"/>
              </w:rPr>
              <w:t>未收集的</w:t>
            </w:r>
            <w:r>
              <w:rPr>
                <w:rFonts w:hint="eastAsia"/>
                <w:color w:val="auto"/>
                <w:sz w:val="24"/>
                <w:szCs w:val="24"/>
                <w:lang w:val="en-US" w:eastAsia="zh-CN"/>
              </w:rPr>
              <w:t>无组织废气排放</w:t>
            </w:r>
            <w:r>
              <w:rPr>
                <w:rFonts w:hint="default"/>
                <w:color w:val="auto"/>
                <w:sz w:val="24"/>
                <w:szCs w:val="24"/>
              </w:rPr>
              <w:t>，</w:t>
            </w:r>
            <w:r>
              <w:rPr>
                <w:rFonts w:hint="eastAsia"/>
                <w:color w:val="auto"/>
                <w:sz w:val="24"/>
                <w:szCs w:val="24"/>
                <w:lang w:eastAsia="zh-CN"/>
              </w:rPr>
              <w:t>加强</w:t>
            </w:r>
            <w:r>
              <w:rPr>
                <w:rFonts w:hint="default"/>
                <w:color w:val="auto"/>
                <w:sz w:val="24"/>
                <w:szCs w:val="24"/>
              </w:rPr>
              <w:t>车间通风</w:t>
            </w:r>
            <w:r>
              <w:rPr>
                <w:rFonts w:hint="eastAsia"/>
                <w:color w:val="auto"/>
                <w:sz w:val="24"/>
                <w:szCs w:val="24"/>
                <w:lang w:eastAsia="zh-CN"/>
              </w:rPr>
              <w:t>处理。</w:t>
            </w:r>
            <w:r>
              <w:rPr>
                <w:rFonts w:hint="eastAsia"/>
                <w:color w:val="auto"/>
                <w:sz w:val="24"/>
                <w:szCs w:val="24"/>
              </w:rPr>
              <w:t>颗粒物排放执行《大气污染物综合排放标准》（GB16297-</w:t>
            </w:r>
            <w:r>
              <w:rPr>
                <w:rFonts w:hint="eastAsia"/>
                <w:color w:val="auto"/>
                <w:sz w:val="24"/>
                <w:szCs w:val="24"/>
                <w:lang w:eastAsia="zh-CN"/>
              </w:rPr>
              <w:t>1996</w:t>
            </w:r>
            <w:r>
              <w:rPr>
                <w:rFonts w:hint="eastAsia"/>
                <w:color w:val="auto"/>
                <w:sz w:val="24"/>
                <w:szCs w:val="24"/>
              </w:rPr>
              <w:t>）表2中二级标准及无组织排放监控浓度限值要求；非甲烷总烃排放执行《挥发性有机物综合排放控制标准（试行）》（DB36/2186-2025）表1、表2和表3中限值要求；</w:t>
            </w:r>
            <w:r>
              <w:rPr>
                <w:rFonts w:hint="default"/>
                <w:color w:val="auto"/>
                <w:sz w:val="24"/>
                <w:szCs w:val="24"/>
              </w:rPr>
              <w:t>不会对周边大气环境产生明显的不利影响。</w:t>
            </w:r>
          </w:p>
          <w:p w14:paraId="0A696597">
            <w:pPr>
              <w:spacing w:line="360" w:lineRule="auto"/>
              <w:rPr>
                <w:b/>
                <w:color w:val="auto"/>
                <w:kern w:val="0"/>
                <w:sz w:val="24"/>
              </w:rPr>
            </w:pPr>
            <w:r>
              <w:rPr>
                <w:rFonts w:hint="eastAsia"/>
                <w:b/>
                <w:color w:val="auto"/>
                <w:kern w:val="0"/>
                <w:sz w:val="24"/>
              </w:rPr>
              <w:t>4.1.3  噪声防治措施</w:t>
            </w:r>
          </w:p>
          <w:p w14:paraId="178B7833">
            <w:pPr>
              <w:adjustRightInd w:val="0"/>
              <w:snapToGrid w:val="0"/>
              <w:spacing w:line="360" w:lineRule="auto"/>
              <w:ind w:firstLine="480" w:firstLineChars="200"/>
              <w:rPr>
                <w:rFonts w:hint="eastAsia" w:eastAsia="宋体"/>
                <w:color w:val="auto"/>
                <w:sz w:val="24"/>
                <w:szCs w:val="24"/>
                <w:lang w:eastAsia="zh-CN"/>
              </w:rPr>
            </w:pPr>
            <w:r>
              <w:rPr>
                <w:rFonts w:hint="default"/>
                <w:color w:val="auto"/>
                <w:sz w:val="24"/>
                <w:szCs w:val="24"/>
              </w:rPr>
              <w:t>本项目噪声源主要为生产设备运行过程中产生的噪声，通过</w:t>
            </w:r>
            <w:r>
              <w:rPr>
                <w:rFonts w:hint="eastAsia" w:ascii="宋体" w:hAnsi="宋体" w:cs="宋体"/>
                <w:color w:val="auto"/>
                <w:sz w:val="24"/>
                <w:szCs w:val="24"/>
              </w:rPr>
              <w:t>采取</w:t>
            </w:r>
            <w:r>
              <w:rPr>
                <w:rFonts w:hint="eastAsia" w:ascii="宋体" w:hAnsi="宋体" w:cs="宋体"/>
                <w:color w:val="auto"/>
                <w:sz w:val="24"/>
                <w:szCs w:val="24"/>
                <w:lang w:eastAsia="zh-CN"/>
              </w:rPr>
              <w:t>低噪设备、减振降噪、墙壁隔声、厂界绿化</w:t>
            </w:r>
            <w:r>
              <w:rPr>
                <w:rFonts w:hint="default"/>
                <w:color w:val="auto"/>
                <w:sz w:val="24"/>
                <w:szCs w:val="24"/>
              </w:rPr>
              <w:t>等措施后</w:t>
            </w:r>
            <w:r>
              <w:rPr>
                <w:rFonts w:hint="default"/>
                <w:color w:val="auto"/>
                <w:sz w:val="24"/>
                <w:szCs w:val="24"/>
                <w:lang w:val="zh-CN"/>
              </w:rPr>
              <w:t>，</w:t>
            </w:r>
            <w:r>
              <w:rPr>
                <w:rFonts w:hint="default"/>
                <w:color w:val="auto"/>
                <w:sz w:val="24"/>
                <w:szCs w:val="24"/>
              </w:rPr>
              <w:t>项目运营期厂界噪声执行《工业企业厂界环境噪声排放标准》（GB12348-2008）中</w:t>
            </w:r>
            <w:r>
              <w:rPr>
                <w:rFonts w:hint="eastAsia"/>
                <w:color w:val="auto"/>
                <w:sz w:val="24"/>
                <w:szCs w:val="24"/>
                <w:lang w:val="en-US" w:eastAsia="zh-CN"/>
              </w:rPr>
              <w:t>3</w:t>
            </w:r>
            <w:r>
              <w:rPr>
                <w:rFonts w:hint="default"/>
                <w:color w:val="auto"/>
                <w:sz w:val="24"/>
                <w:szCs w:val="24"/>
              </w:rPr>
              <w:t>类标准，不会对周围声环境产生明显的不利影响</w:t>
            </w:r>
            <w:r>
              <w:rPr>
                <w:rFonts w:hint="eastAsia"/>
                <w:color w:val="auto"/>
                <w:sz w:val="24"/>
                <w:szCs w:val="24"/>
                <w:lang w:eastAsia="zh-CN"/>
              </w:rPr>
              <w:t>。</w:t>
            </w:r>
          </w:p>
          <w:p w14:paraId="578E957D">
            <w:pPr>
              <w:spacing w:line="360" w:lineRule="auto"/>
              <w:rPr>
                <w:b/>
                <w:color w:val="auto"/>
                <w:kern w:val="0"/>
                <w:sz w:val="24"/>
              </w:rPr>
            </w:pPr>
            <w:r>
              <w:rPr>
                <w:rFonts w:hint="eastAsia"/>
                <w:b/>
                <w:color w:val="auto"/>
                <w:kern w:val="0"/>
                <w:sz w:val="24"/>
              </w:rPr>
              <w:t>4.1.4  固废污染防治措施</w:t>
            </w:r>
          </w:p>
          <w:p w14:paraId="0AC4618C">
            <w:pPr>
              <w:adjustRightInd w:val="0"/>
              <w:snapToGrid w:val="0"/>
              <w:spacing w:line="360" w:lineRule="auto"/>
              <w:ind w:firstLine="480" w:firstLineChars="200"/>
              <w:rPr>
                <w:color w:val="auto"/>
                <w:sz w:val="24"/>
                <w:szCs w:val="24"/>
              </w:rPr>
            </w:pPr>
            <w:r>
              <w:rPr>
                <w:rFonts w:hint="eastAsia"/>
                <w:color w:val="auto"/>
                <w:sz w:val="24"/>
                <w:szCs w:val="24"/>
                <w:lang w:eastAsia="zh-CN"/>
              </w:rPr>
              <w:t>本项目产生的</w:t>
            </w:r>
            <w:r>
              <w:rPr>
                <w:rFonts w:hint="eastAsia"/>
                <w:color w:val="auto"/>
                <w:sz w:val="24"/>
                <w:szCs w:val="24"/>
                <w:lang w:val="en-US" w:eastAsia="zh-CN"/>
              </w:rPr>
              <w:t>废边角料、焊渣、废钢丸、布袋除尘器收集的抛丸粉尘、布袋除尘器收集的喷塑粉尘、收集的金属粉尘、废布袋、废一般包装材料、沉渣统一</w:t>
            </w:r>
            <w:r>
              <w:rPr>
                <w:rFonts w:hint="eastAsia"/>
                <w:color w:val="auto"/>
                <w:sz w:val="24"/>
                <w:szCs w:val="24"/>
                <w:lang w:eastAsia="zh-CN"/>
              </w:rPr>
              <w:t>收集后暂存于一般工业固废暂存间（</w:t>
            </w:r>
            <w:r>
              <w:rPr>
                <w:rFonts w:hint="eastAsia"/>
                <w:color w:val="auto"/>
                <w:sz w:val="24"/>
                <w:szCs w:val="24"/>
                <w:lang w:val="en-US" w:eastAsia="zh-CN"/>
              </w:rPr>
              <w:t>200</w:t>
            </w:r>
            <w:r>
              <w:rPr>
                <w:rFonts w:hint="eastAsia"/>
                <w:color w:val="auto"/>
                <w:sz w:val="24"/>
                <w:szCs w:val="24"/>
                <w:lang w:eastAsia="zh-CN"/>
              </w:rPr>
              <w:t>m</w:t>
            </w:r>
            <w:r>
              <w:rPr>
                <w:rFonts w:hint="eastAsia"/>
                <w:color w:val="auto"/>
                <w:sz w:val="24"/>
                <w:szCs w:val="24"/>
                <w:vertAlign w:val="superscript"/>
                <w:lang w:eastAsia="zh-CN"/>
              </w:rPr>
              <w:t>2</w:t>
            </w:r>
            <w:r>
              <w:rPr>
                <w:rFonts w:hint="eastAsia"/>
                <w:color w:val="auto"/>
                <w:sz w:val="24"/>
                <w:szCs w:val="24"/>
                <w:lang w:eastAsia="zh-CN"/>
              </w:rPr>
              <w:t>）外售处理；</w:t>
            </w:r>
            <w:r>
              <w:rPr>
                <w:rFonts w:hint="eastAsia"/>
                <w:color w:val="auto"/>
                <w:sz w:val="24"/>
                <w:szCs w:val="24"/>
                <w:lang w:val="en-US" w:eastAsia="zh-CN"/>
              </w:rPr>
              <w:t>废活性炭、废润滑油、废液压油、废油桶、废抹布及手套</w:t>
            </w:r>
            <w:r>
              <w:rPr>
                <w:rFonts w:hint="eastAsia"/>
                <w:color w:val="auto"/>
                <w:sz w:val="24"/>
                <w:szCs w:val="24"/>
                <w:lang w:eastAsia="zh-CN"/>
              </w:rPr>
              <w:t>暂存于危废暂存间（</w:t>
            </w:r>
            <w:r>
              <w:rPr>
                <w:rFonts w:hint="eastAsia"/>
                <w:color w:val="auto"/>
                <w:sz w:val="24"/>
                <w:szCs w:val="24"/>
                <w:lang w:val="en-US" w:eastAsia="zh-CN"/>
              </w:rPr>
              <w:t>10</w:t>
            </w:r>
            <w:r>
              <w:rPr>
                <w:rFonts w:hint="eastAsia"/>
                <w:color w:val="auto"/>
                <w:sz w:val="24"/>
                <w:szCs w:val="24"/>
                <w:lang w:eastAsia="zh-CN"/>
              </w:rPr>
              <w:t>m</w:t>
            </w:r>
            <w:r>
              <w:rPr>
                <w:rFonts w:hint="eastAsia"/>
                <w:color w:val="auto"/>
                <w:sz w:val="24"/>
                <w:szCs w:val="24"/>
                <w:vertAlign w:val="superscript"/>
                <w:lang w:eastAsia="zh-CN"/>
              </w:rPr>
              <w:t>2</w:t>
            </w:r>
            <w:r>
              <w:rPr>
                <w:rFonts w:hint="eastAsia"/>
                <w:color w:val="auto"/>
                <w:sz w:val="24"/>
                <w:szCs w:val="24"/>
                <w:lang w:eastAsia="zh-CN"/>
              </w:rPr>
              <w:t>）定期交由有资质单位处理；</w:t>
            </w:r>
            <w:r>
              <w:rPr>
                <w:rFonts w:ascii="Times New Roman" w:hAnsi="Times New Roman" w:cs="Times New Roman"/>
                <w:color w:val="auto"/>
                <w:sz w:val="24"/>
                <w:szCs w:val="24"/>
              </w:rPr>
              <w:t>生活垃圾交由当地的环卫部门处置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采取以</w:t>
            </w:r>
            <w:r>
              <w:rPr>
                <w:color w:val="auto"/>
                <w:sz w:val="24"/>
                <w:szCs w:val="24"/>
              </w:rPr>
              <w:t>上措施后，本项目所产生的固体废物均可得到妥善处理，处理率为100%，对周围环境影响较小。</w:t>
            </w:r>
          </w:p>
          <w:p w14:paraId="509B5333">
            <w:pPr>
              <w:spacing w:line="360" w:lineRule="auto"/>
              <w:rPr>
                <w:rFonts w:hint="eastAsia"/>
                <w:color w:val="auto"/>
                <w:sz w:val="24"/>
                <w:szCs w:val="24"/>
              </w:rPr>
            </w:pPr>
            <w:r>
              <w:rPr>
                <w:rFonts w:hint="eastAsia"/>
                <w:b/>
                <w:color w:val="auto"/>
                <w:kern w:val="0"/>
                <w:sz w:val="24"/>
              </w:rPr>
              <w:t>4.2 环境影响评价批复的要求</w:t>
            </w:r>
          </w:p>
          <w:p w14:paraId="2B04C1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szCs w:val="24"/>
                <w:lang w:val="en-US" w:eastAsia="zh-CN"/>
              </w:rPr>
            </w:pPr>
            <w:r>
              <w:rPr>
                <w:rFonts w:hint="eastAsia"/>
                <w:color w:val="auto"/>
                <w:sz w:val="24"/>
                <w:szCs w:val="24"/>
              </w:rPr>
              <w:t>根据</w:t>
            </w:r>
            <w:r>
              <w:rPr>
                <w:rFonts w:hint="eastAsia"/>
                <w:color w:val="auto"/>
                <w:sz w:val="24"/>
                <w:szCs w:val="24"/>
                <w:lang w:eastAsia="zh-CN"/>
              </w:rPr>
              <w:t>南昌市南昌生态环境局《关于水联江西管道装备有限公司年产20万吨螺旋管50万涂塑项目环境影响报告表的批复》（南环评字〔202</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18</w:t>
            </w:r>
            <w:r>
              <w:rPr>
                <w:rFonts w:hint="eastAsia"/>
                <w:color w:val="auto"/>
                <w:sz w:val="24"/>
                <w:szCs w:val="24"/>
                <w:lang w:eastAsia="zh-CN"/>
              </w:rPr>
              <w:t>号）</w:t>
            </w:r>
            <w:r>
              <w:rPr>
                <w:rFonts w:hint="eastAsia"/>
                <w:color w:val="auto"/>
                <w:sz w:val="24"/>
                <w:szCs w:val="24"/>
              </w:rPr>
              <w:t>，确定对该项目环保主要要求如下：</w:t>
            </w:r>
          </w:p>
          <w:p w14:paraId="4019183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1、严格落实大气污染防治措施。项目产生的废气主要为食堂油烟、铣边金属粉尘、焊接烟尘、抛丸粉尘、喷塑粉尘及固化、调漆、喷漆、晾干、胶带和PE带缠绕工序产生的有机废气等。应采取成熟可靠的废气处理工艺，确保外排粉尘颗粒物浓度满足《大气污染物综合排放标准》(GB16297-1996)表2中的二级标准，有机废气满足《大气污染物综合排放标准》(GB16297-1996)表2中的二级标准、金属粉尘、焊接烟尘等满足《大气污染物综合排放标准》(GB16297-1996)表2中的无组织排放监控浓度限值，食堂油烟满足《饮食业油烟排放标准(试行)》(GB18483-2001)小型标准。</w:t>
            </w:r>
          </w:p>
          <w:p w14:paraId="55FC887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2、严格落实水污染防治措施。项目废水主要为生活污水等。应按“清污分流、雨污分流”原则建设厂区排水管网，生活污水经预处理达到武阳污水处理厂接管标准后排入市政污水管道。</w:t>
            </w:r>
          </w:p>
          <w:p w14:paraId="2FC4F2C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3、噪声污染防治要求。合理布局、加强管理，选用低噪声设备，对噪声源采取减震、隔振、消声等措施，以减轻对周边环境的影响。厂界噪声必须达到《工业企业厂界环境噪声排放标准》(GB12348-2008)中3类标准。</w:t>
            </w:r>
          </w:p>
          <w:p w14:paraId="4D49718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4、严格落实固体废物分类处置和综合利用措施。应按“资源化、减量化、无害化”处置原则，认真落实废边角料、焊渣、废钢丸、布袋除尘器收集的抛丸粉尘、布袋除尘器收集的喷塑粉尘、收集的金属粉尘、废布袋、废一般包装材料、沉渣、废过滤棉、废活性炭、废催化剂、油漆包装桶、稀释剂包装桶、固化剂包装桶、废润滑油、废液压油、废油桶、废抹布及废手套等各类固体废物收集，处置和综合利用措施。一般工业固体废物暂存库应按《一般工业固体废物贮存、处置场污染控制标准》(GB18599-2020)的要求建设，危废暂存库应按《危险废物贮存污染控制标准》(GB18597-2023)的相关要求建设。</w:t>
            </w:r>
          </w:p>
          <w:p w14:paraId="6245422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5、严格落实土壤和地下水污染防治措施。按照“源头控制、分区防治、污染监控”原则做好土壤和地下水污染防治工作。对重点防治区（喷漆房、危废暂存库等）进行防腐防渗处理，并定期进行维护管理。</w:t>
            </w:r>
          </w:p>
          <w:p w14:paraId="0E6E4AE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6、严格落实环境风险防控措施，认真制定环境风险应急预案，配备环境应急设施和装备。一旦发生环境风险事故，必须立即启动环境风险应急预案，减轻对外环境的污染影响。项目配套的环保设备设施应落实安全生产要求，依法依规履行安全生产相关手续，报经相关职能部门审批同意后方可实施。有效防范因污染物事故排放或安全生产事故可能引发的环境风险，确保周边环境安全。</w:t>
            </w:r>
          </w:p>
          <w:p w14:paraId="1EACB42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7、排污口规范化要求。按照生态环境部要求规范排污口建设，设置各类排污口标识。</w:t>
            </w:r>
          </w:p>
          <w:p w14:paraId="7C8C2B4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color w:val="auto"/>
                <w:lang w:val="en-US" w:eastAsia="zh-CN"/>
              </w:rPr>
            </w:pPr>
            <w:r>
              <w:rPr>
                <w:rFonts w:hint="eastAsia"/>
                <w:color w:val="auto"/>
                <w:sz w:val="24"/>
                <w:szCs w:val="24"/>
                <w:lang w:val="en-US" w:eastAsia="zh-CN"/>
              </w:rPr>
              <w:t>8、项目周边规划控制要求。项目环境防护距离应满足环境影响报告提出的要求，防护距离内民房未完成拆迁前，该项目不得进行生产运营。八一乡人民政府应落实好规划控制要求，本项目环境防护距离范围内不得新建居民住宅、学校及医院等环境敏感建筑。</w:t>
            </w:r>
          </w:p>
        </w:tc>
      </w:tr>
    </w:tbl>
    <w:p w14:paraId="60602AB0">
      <w:pPr>
        <w:pStyle w:val="7"/>
        <w:rPr>
          <w:b w:val="0"/>
          <w:bCs/>
          <w:color w:val="auto"/>
          <w:szCs w:val="24"/>
        </w:rPr>
      </w:pPr>
      <w:bookmarkStart w:id="5" w:name="_Toc523906059"/>
      <w:r>
        <w:rPr>
          <w:color w:val="auto"/>
        </w:rPr>
        <w:t>表</w:t>
      </w:r>
      <w:r>
        <w:rPr>
          <w:rFonts w:hint="eastAsia"/>
          <w:color w:val="auto"/>
        </w:rPr>
        <w:t>五</w:t>
      </w:r>
      <w:r>
        <w:rPr>
          <w:color w:val="auto"/>
        </w:rPr>
        <w:t xml:space="preserve">  </w:t>
      </w:r>
      <w:r>
        <w:rPr>
          <w:rFonts w:hint="eastAsia" w:ascii="宋体" w:hAnsi="宋体"/>
          <w:color w:val="auto"/>
        </w:rPr>
        <w:t>验收监测质量保证及质量控制</w:t>
      </w:r>
      <w:bookmarkEnd w:id="5"/>
    </w:p>
    <w:tbl>
      <w:tblPr>
        <w:tblStyle w:val="34"/>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3078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9287" w:type="dxa"/>
            <w:shd w:val="clear" w:color="auto" w:fill="auto"/>
          </w:tcPr>
          <w:p w14:paraId="060699B8">
            <w:pPr>
              <w:spacing w:line="360" w:lineRule="auto"/>
              <w:rPr>
                <w:b/>
                <w:color w:val="auto"/>
                <w:kern w:val="0"/>
                <w:sz w:val="24"/>
              </w:rPr>
            </w:pPr>
            <w:r>
              <w:rPr>
                <w:rFonts w:hint="eastAsia"/>
                <w:b/>
                <w:color w:val="auto"/>
                <w:kern w:val="0"/>
                <w:sz w:val="24"/>
              </w:rPr>
              <w:t>5.1 监测分析方法</w:t>
            </w:r>
          </w:p>
          <w:p w14:paraId="408E2177">
            <w:pPr>
              <w:adjustRightInd w:val="0"/>
              <w:snapToGrid w:val="0"/>
              <w:spacing w:line="360" w:lineRule="auto"/>
              <w:ind w:firstLine="480" w:firstLineChars="200"/>
              <w:rPr>
                <w:color w:val="auto"/>
                <w:sz w:val="24"/>
                <w:szCs w:val="24"/>
              </w:rPr>
            </w:pPr>
            <w:r>
              <w:rPr>
                <w:color w:val="auto"/>
                <w:sz w:val="24"/>
                <w:szCs w:val="24"/>
              </w:rPr>
              <w:t>各项污染物具体测定方法见表</w:t>
            </w:r>
            <w:r>
              <w:rPr>
                <w:rFonts w:hint="eastAsia"/>
                <w:color w:val="auto"/>
                <w:sz w:val="24"/>
                <w:szCs w:val="24"/>
              </w:rPr>
              <w:t>5-1</w:t>
            </w:r>
            <w:r>
              <w:rPr>
                <w:color w:val="auto"/>
                <w:sz w:val="24"/>
                <w:szCs w:val="24"/>
              </w:rPr>
              <w:t>。</w:t>
            </w:r>
          </w:p>
          <w:p w14:paraId="49992296">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表5-1 监测方法一览表</w:t>
            </w:r>
          </w:p>
          <w:tbl>
            <w:tblPr>
              <w:tblStyle w:val="34"/>
              <w:tblW w:w="5000"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739"/>
              <w:gridCol w:w="913"/>
              <w:gridCol w:w="1316"/>
              <w:gridCol w:w="2188"/>
              <w:gridCol w:w="2650"/>
              <w:gridCol w:w="1265"/>
            </w:tblGrid>
            <w:tr w14:paraId="27C18CB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tblHeader/>
                <w:jc w:val="center"/>
              </w:trPr>
              <w:tc>
                <w:tcPr>
                  <w:tcW w:w="407" w:type="pct"/>
                  <w:tcBorders>
                    <w:bottom w:val="single" w:color="auto" w:sz="4" w:space="0"/>
                    <w:right w:val="single" w:color="auto" w:sz="4" w:space="0"/>
                  </w:tcBorders>
                  <w:noWrap w:val="0"/>
                  <w:vAlign w:val="center"/>
                </w:tcPr>
                <w:p w14:paraId="77E0934C">
                  <w:pPr>
                    <w:tabs>
                      <w:tab w:val="left" w:pos="2100"/>
                    </w:tabs>
                    <w:jc w:val="center"/>
                    <w:textAlignment w:val="baseline"/>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kern w:val="0"/>
                      <w:sz w:val="21"/>
                      <w:szCs w:val="21"/>
                      <w:vertAlign w:val="baseline"/>
                      <w:lang w:val="en-US" w:eastAsia="zh-CN" w:bidi="ar-SA"/>
                    </w:rPr>
                    <w:t>检测类别</w:t>
                  </w:r>
                </w:p>
              </w:tc>
              <w:tc>
                <w:tcPr>
                  <w:tcW w:w="503" w:type="pct"/>
                  <w:tcBorders>
                    <w:left w:val="single" w:color="auto" w:sz="4" w:space="0"/>
                    <w:bottom w:val="single" w:color="auto" w:sz="4" w:space="0"/>
                    <w:right w:val="single" w:color="auto" w:sz="4" w:space="0"/>
                  </w:tcBorders>
                  <w:noWrap w:val="0"/>
                  <w:vAlign w:val="center"/>
                </w:tcPr>
                <w:p w14:paraId="0FF3CCB8">
                  <w:pPr>
                    <w:tabs>
                      <w:tab w:val="left" w:pos="2100"/>
                    </w:tabs>
                    <w:jc w:val="center"/>
                    <w:textAlignment w:val="baseline"/>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检测项目</w:t>
                  </w:r>
                </w:p>
              </w:tc>
              <w:tc>
                <w:tcPr>
                  <w:tcW w:w="725" w:type="pct"/>
                  <w:tcBorders>
                    <w:left w:val="single" w:color="auto" w:sz="4" w:space="0"/>
                    <w:bottom w:val="single" w:color="auto" w:sz="4" w:space="0"/>
                    <w:right w:val="single" w:color="auto" w:sz="4" w:space="0"/>
                  </w:tcBorders>
                  <w:noWrap w:val="0"/>
                  <w:vAlign w:val="center"/>
                </w:tcPr>
                <w:p w14:paraId="3DAFB9FA">
                  <w:pPr>
                    <w:tabs>
                      <w:tab w:val="left" w:pos="2100"/>
                    </w:tabs>
                    <w:jc w:val="center"/>
                    <w:textAlignment w:val="baseline"/>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检测依据</w:t>
                  </w:r>
                </w:p>
              </w:tc>
              <w:tc>
                <w:tcPr>
                  <w:tcW w:w="1206" w:type="pct"/>
                  <w:tcBorders>
                    <w:left w:val="single" w:color="auto" w:sz="4" w:space="0"/>
                    <w:bottom w:val="single" w:color="auto" w:sz="4" w:space="0"/>
                    <w:right w:val="single" w:color="auto" w:sz="4" w:space="0"/>
                  </w:tcBorders>
                  <w:noWrap w:val="0"/>
                  <w:vAlign w:val="center"/>
                </w:tcPr>
                <w:p w14:paraId="04EFF56C">
                  <w:pPr>
                    <w:tabs>
                      <w:tab w:val="left" w:pos="2100"/>
                    </w:tabs>
                    <w:jc w:val="center"/>
                    <w:textAlignment w:val="baseline"/>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检测方法</w:t>
                  </w:r>
                </w:p>
              </w:tc>
              <w:tc>
                <w:tcPr>
                  <w:tcW w:w="1460" w:type="pct"/>
                  <w:tcBorders>
                    <w:left w:val="single" w:color="auto" w:sz="4" w:space="0"/>
                    <w:bottom w:val="single" w:color="auto" w:sz="4" w:space="0"/>
                    <w:right w:val="single" w:color="auto" w:sz="4" w:space="0"/>
                  </w:tcBorders>
                  <w:noWrap w:val="0"/>
                  <w:vAlign w:val="center"/>
                </w:tcPr>
                <w:p w14:paraId="2B8007A9">
                  <w:pPr>
                    <w:tabs>
                      <w:tab w:val="left" w:pos="2100"/>
                    </w:tabs>
                    <w:jc w:val="center"/>
                    <w:textAlignment w:val="baseline"/>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检测仪器及编号</w:t>
                  </w:r>
                </w:p>
              </w:tc>
              <w:tc>
                <w:tcPr>
                  <w:tcW w:w="697" w:type="pct"/>
                  <w:tcBorders>
                    <w:left w:val="single" w:color="auto" w:sz="4" w:space="0"/>
                    <w:bottom w:val="single" w:color="auto" w:sz="4" w:space="0"/>
                  </w:tcBorders>
                  <w:noWrap w:val="0"/>
                  <w:vAlign w:val="center"/>
                </w:tcPr>
                <w:p w14:paraId="386A8DBA">
                  <w:pPr>
                    <w:tabs>
                      <w:tab w:val="left" w:pos="2100"/>
                    </w:tabs>
                    <w:jc w:val="center"/>
                    <w:textAlignment w:val="baseline"/>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方法检出限</w:t>
                  </w:r>
                </w:p>
              </w:tc>
            </w:tr>
            <w:tr w14:paraId="72CC62D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tblHeader/>
                <w:jc w:val="center"/>
              </w:trPr>
              <w:tc>
                <w:tcPr>
                  <w:tcW w:w="407" w:type="pct"/>
                  <w:vMerge w:val="restart"/>
                  <w:tcBorders>
                    <w:right w:val="single" w:color="auto" w:sz="4" w:space="0"/>
                  </w:tcBorders>
                  <w:noWrap w:val="0"/>
                  <w:vAlign w:val="center"/>
                </w:tcPr>
                <w:p w14:paraId="3FC0688F">
                  <w:pPr>
                    <w:tabs>
                      <w:tab w:val="left" w:pos="2100"/>
                    </w:tabs>
                    <w:jc w:val="center"/>
                    <w:textAlignment w:val="baseline"/>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eastAsia="宋体" w:cs="Times New Roman"/>
                      <w:b w:val="0"/>
                      <w:bCs w:val="0"/>
                      <w:color w:val="auto"/>
                      <w:kern w:val="0"/>
                      <w:sz w:val="21"/>
                      <w:szCs w:val="21"/>
                      <w:vertAlign w:val="baseline"/>
                      <w:lang w:val="en-US" w:eastAsia="zh-CN" w:bidi="ar-SA"/>
                    </w:rPr>
                    <w:t>固定污染源废气</w:t>
                  </w:r>
                </w:p>
              </w:tc>
              <w:tc>
                <w:tcPr>
                  <w:tcW w:w="503" w:type="pct"/>
                  <w:tcBorders>
                    <w:left w:val="single" w:color="auto" w:sz="4" w:space="0"/>
                    <w:bottom w:val="single" w:color="auto" w:sz="4" w:space="0"/>
                    <w:right w:val="single" w:color="auto" w:sz="4" w:space="0"/>
                  </w:tcBorders>
                  <w:noWrap w:val="0"/>
                  <w:vAlign w:val="center"/>
                </w:tcPr>
                <w:p w14:paraId="3BBA1AC7">
                  <w:pPr>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颗粒物</w:t>
                  </w:r>
                </w:p>
              </w:tc>
              <w:tc>
                <w:tcPr>
                  <w:tcW w:w="725" w:type="pct"/>
                  <w:tcBorders>
                    <w:left w:val="single" w:color="auto" w:sz="4" w:space="0"/>
                    <w:bottom w:val="single" w:color="auto" w:sz="4" w:space="0"/>
                    <w:right w:val="single" w:color="auto" w:sz="4" w:space="0"/>
                  </w:tcBorders>
                  <w:noWrap w:val="0"/>
                  <w:vAlign w:val="center"/>
                </w:tcPr>
                <w:p w14:paraId="219B29F0">
                  <w:pPr>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HJ 836-2017</w:t>
                  </w:r>
                </w:p>
              </w:tc>
              <w:tc>
                <w:tcPr>
                  <w:tcW w:w="1206" w:type="pct"/>
                  <w:tcBorders>
                    <w:left w:val="single" w:color="auto" w:sz="4" w:space="0"/>
                    <w:bottom w:val="single" w:color="auto" w:sz="4" w:space="0"/>
                    <w:right w:val="single" w:color="auto" w:sz="4" w:space="0"/>
                  </w:tcBorders>
                  <w:noWrap w:val="0"/>
                  <w:vAlign w:val="center"/>
                </w:tcPr>
                <w:p w14:paraId="19271094">
                  <w:pPr>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固定污染源废气 低浓度颗粒物的测定 重量法</w:t>
                  </w:r>
                </w:p>
              </w:tc>
              <w:tc>
                <w:tcPr>
                  <w:tcW w:w="1460" w:type="pct"/>
                  <w:tcBorders>
                    <w:left w:val="single" w:color="auto" w:sz="4" w:space="0"/>
                    <w:bottom w:val="single" w:color="auto" w:sz="4" w:space="0"/>
                    <w:right w:val="single" w:color="auto" w:sz="4" w:space="0"/>
                  </w:tcBorders>
                  <w:noWrap w:val="0"/>
                  <w:vAlign w:val="center"/>
                </w:tcPr>
                <w:p w14:paraId="25580A78">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YQ3000-C型全自动烟尘（气）测试仪</w:t>
                  </w:r>
                </w:p>
                <w:p w14:paraId="072E1E31">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HDJC/YQ-145</w:t>
                  </w:r>
                </w:p>
                <w:p w14:paraId="3904BDC6">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AUW120D十万分之一电子天平</w:t>
                  </w:r>
                </w:p>
                <w:p w14:paraId="2EA739F5">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HDJC/YQ-020</w:t>
                  </w:r>
                </w:p>
                <w:p w14:paraId="475B2385">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JC-AWS9-2恒温恒湿称重系统</w:t>
                  </w:r>
                </w:p>
                <w:p w14:paraId="733688C2">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HDJC/YQ-205</w:t>
                  </w:r>
                </w:p>
              </w:tc>
              <w:tc>
                <w:tcPr>
                  <w:tcW w:w="697" w:type="pct"/>
                  <w:tcBorders>
                    <w:left w:val="single" w:color="auto" w:sz="4" w:space="0"/>
                    <w:bottom w:val="single" w:color="auto" w:sz="4" w:space="0"/>
                  </w:tcBorders>
                  <w:noWrap w:val="0"/>
                  <w:vAlign w:val="center"/>
                </w:tcPr>
                <w:p w14:paraId="0E92B612">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w:t>
                  </w:r>
                </w:p>
              </w:tc>
            </w:tr>
            <w:tr w14:paraId="622900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tblHeader/>
                <w:jc w:val="center"/>
              </w:trPr>
              <w:tc>
                <w:tcPr>
                  <w:tcW w:w="407" w:type="pct"/>
                  <w:vMerge w:val="continue"/>
                  <w:tcBorders>
                    <w:bottom w:val="single" w:color="auto" w:sz="4" w:space="0"/>
                    <w:right w:val="single" w:color="auto" w:sz="4" w:space="0"/>
                  </w:tcBorders>
                  <w:noWrap w:val="0"/>
                  <w:vAlign w:val="center"/>
                </w:tcPr>
                <w:p w14:paraId="59EFCA82">
                  <w:pPr>
                    <w:tabs>
                      <w:tab w:val="left" w:pos="2100"/>
                    </w:tabs>
                    <w:jc w:val="center"/>
                    <w:textAlignment w:val="baseline"/>
                    <w:rPr>
                      <w:rFonts w:hint="default" w:ascii="Times New Roman" w:hAnsi="Times New Roman" w:eastAsia="宋体" w:cs="Times New Roman"/>
                      <w:b w:val="0"/>
                      <w:bCs w:val="0"/>
                      <w:color w:val="auto"/>
                      <w:kern w:val="0"/>
                      <w:sz w:val="21"/>
                      <w:szCs w:val="21"/>
                      <w:vertAlign w:val="baseline"/>
                      <w:lang w:val="en-US" w:eastAsia="zh-CN" w:bidi="ar-SA"/>
                    </w:rPr>
                  </w:pPr>
                </w:p>
              </w:tc>
              <w:tc>
                <w:tcPr>
                  <w:tcW w:w="503" w:type="pct"/>
                  <w:tcBorders>
                    <w:left w:val="single" w:color="auto" w:sz="4" w:space="0"/>
                    <w:bottom w:val="single" w:color="auto" w:sz="4" w:space="0"/>
                    <w:right w:val="single" w:color="auto" w:sz="4" w:space="0"/>
                  </w:tcBorders>
                  <w:noWrap w:val="0"/>
                  <w:vAlign w:val="center"/>
                </w:tcPr>
                <w:p w14:paraId="326E31E4">
                  <w:pPr>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非甲烷总烃</w:t>
                  </w:r>
                </w:p>
              </w:tc>
              <w:tc>
                <w:tcPr>
                  <w:tcW w:w="725" w:type="pct"/>
                  <w:tcBorders>
                    <w:left w:val="single" w:color="auto" w:sz="4" w:space="0"/>
                    <w:bottom w:val="single" w:color="auto" w:sz="4" w:space="0"/>
                    <w:right w:val="single" w:color="auto" w:sz="4" w:space="0"/>
                  </w:tcBorders>
                  <w:noWrap w:val="0"/>
                  <w:vAlign w:val="center"/>
                </w:tcPr>
                <w:p w14:paraId="2A4AB561">
                  <w:pPr>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HJ 38-2017</w:t>
                  </w:r>
                </w:p>
              </w:tc>
              <w:tc>
                <w:tcPr>
                  <w:tcW w:w="1206" w:type="pct"/>
                  <w:tcBorders>
                    <w:left w:val="single" w:color="auto" w:sz="4" w:space="0"/>
                    <w:bottom w:val="single" w:color="auto" w:sz="4" w:space="0"/>
                    <w:right w:val="single" w:color="auto" w:sz="4" w:space="0"/>
                  </w:tcBorders>
                  <w:noWrap w:val="0"/>
                  <w:vAlign w:val="center"/>
                </w:tcPr>
                <w:p w14:paraId="2032E39B">
                  <w:pPr>
                    <w:tabs>
                      <w:tab w:val="left" w:pos="2100"/>
                    </w:tabs>
                    <w:jc w:val="center"/>
                    <w:textAlignment w:val="baseline"/>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固定污染源废气 总烃、甲烷和非甲烷总烃的测定 气相色谱法</w:t>
                  </w:r>
                </w:p>
              </w:tc>
              <w:tc>
                <w:tcPr>
                  <w:tcW w:w="1460" w:type="pct"/>
                  <w:tcBorders>
                    <w:left w:val="single" w:color="auto" w:sz="4" w:space="0"/>
                    <w:bottom w:val="single" w:color="auto" w:sz="4" w:space="0"/>
                    <w:right w:val="single" w:color="auto" w:sz="4" w:space="0"/>
                  </w:tcBorders>
                  <w:noWrap w:val="0"/>
                  <w:vAlign w:val="center"/>
                </w:tcPr>
                <w:p w14:paraId="3A2C9A2D">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YQ3000-C型全自动烟尘（气）测试仪</w:t>
                  </w:r>
                </w:p>
                <w:p w14:paraId="064E146E">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HDJC/YQ-145</w:t>
                  </w:r>
                </w:p>
                <w:p w14:paraId="1E5CA512">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GC-1690气相色谱</w:t>
                  </w:r>
                </w:p>
                <w:p w14:paraId="39CC2724">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HDJC/YQ-043</w:t>
                  </w:r>
                </w:p>
              </w:tc>
              <w:tc>
                <w:tcPr>
                  <w:tcW w:w="697" w:type="pct"/>
                  <w:tcBorders>
                    <w:left w:val="single" w:color="auto" w:sz="4" w:space="0"/>
                    <w:bottom w:val="single" w:color="auto" w:sz="4" w:space="0"/>
                  </w:tcBorders>
                  <w:noWrap w:val="0"/>
                  <w:vAlign w:val="center"/>
                </w:tcPr>
                <w:p w14:paraId="3DAFDBAA">
                  <w:pPr>
                    <w:tabs>
                      <w:tab w:val="left" w:pos="2100"/>
                    </w:tabs>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w:t>
                  </w:r>
                </w:p>
              </w:tc>
            </w:tr>
            <w:tr w14:paraId="76330E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23" w:hRule="atLeast"/>
                <w:jc w:val="center"/>
              </w:trPr>
              <w:tc>
                <w:tcPr>
                  <w:tcW w:w="407" w:type="pct"/>
                  <w:vMerge w:val="restart"/>
                  <w:tcBorders>
                    <w:right w:val="single" w:color="auto" w:sz="4" w:space="0"/>
                  </w:tcBorders>
                  <w:noWrap w:val="0"/>
                  <w:vAlign w:val="center"/>
                </w:tcPr>
                <w:p w14:paraId="68CF50A8">
                  <w:pPr>
                    <w:jc w:val="center"/>
                    <w:rPr>
                      <w:rFonts w:hint="default" w:ascii="Times New Roman" w:hAnsi="Times New Roman" w:cs="Times New Roman"/>
                      <w:b w:val="0"/>
                      <w:bCs w:val="0"/>
                      <w:color w:val="auto"/>
                      <w:sz w:val="21"/>
                      <w:szCs w:val="21"/>
                      <w:lang w:eastAsia="zh-CN"/>
                    </w:rPr>
                  </w:pPr>
                  <w:r>
                    <w:rPr>
                      <w:rFonts w:hint="default" w:ascii="Times New Roman" w:hAnsi="Times New Roman" w:eastAsia="宋体" w:cs="Times New Roman"/>
                      <w:b w:val="0"/>
                      <w:bCs w:val="0"/>
                      <w:color w:val="auto"/>
                      <w:sz w:val="21"/>
                      <w:szCs w:val="21"/>
                      <w:vertAlign w:val="baseline"/>
                      <w:lang w:eastAsia="zh-CN"/>
                    </w:rPr>
                    <w:t>环境空气与废气</w:t>
                  </w:r>
                </w:p>
              </w:tc>
              <w:tc>
                <w:tcPr>
                  <w:tcW w:w="503" w:type="pct"/>
                  <w:tcBorders>
                    <w:left w:val="single" w:color="auto" w:sz="4" w:space="0"/>
                    <w:right w:val="single" w:color="auto" w:sz="4" w:space="0"/>
                  </w:tcBorders>
                  <w:shd w:val="clear" w:color="auto" w:fill="auto"/>
                  <w:noWrap w:val="0"/>
                  <w:vAlign w:val="center"/>
                </w:tcPr>
                <w:p w14:paraId="3EDBF833">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eastAsia="zh-CN"/>
                    </w:rPr>
                    <w:t>颗粒物</w:t>
                  </w:r>
                </w:p>
              </w:tc>
              <w:tc>
                <w:tcPr>
                  <w:tcW w:w="7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3EE687">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新宋体" w:cs="Times New Roman"/>
                      <w:b w:val="0"/>
                      <w:bCs w:val="0"/>
                      <w:color w:val="auto"/>
                      <w:kern w:val="2"/>
                      <w:sz w:val="21"/>
                      <w:szCs w:val="21"/>
                      <w:highlight w:val="none"/>
                      <w:lang w:eastAsia="zh-CN"/>
                    </w:rPr>
                    <w:t>HJ 1263</w:t>
                  </w:r>
                  <w:r>
                    <w:rPr>
                      <w:rFonts w:hint="default" w:ascii="Times New Roman" w:hAnsi="Times New Roman" w:eastAsia="新宋体" w:cs="Times New Roman"/>
                      <w:b w:val="0"/>
                      <w:bCs w:val="0"/>
                      <w:color w:val="auto"/>
                      <w:kern w:val="2"/>
                      <w:sz w:val="21"/>
                      <w:szCs w:val="21"/>
                      <w:highlight w:val="none"/>
                      <w:lang w:val="en-US" w:eastAsia="zh-CN"/>
                    </w:rPr>
                    <w:t>-</w:t>
                  </w:r>
                  <w:r>
                    <w:rPr>
                      <w:rFonts w:hint="default" w:ascii="Times New Roman" w:hAnsi="Times New Roman" w:eastAsia="新宋体" w:cs="Times New Roman"/>
                      <w:b w:val="0"/>
                      <w:bCs w:val="0"/>
                      <w:color w:val="auto"/>
                      <w:kern w:val="2"/>
                      <w:sz w:val="21"/>
                      <w:szCs w:val="21"/>
                      <w:highlight w:val="none"/>
                      <w:lang w:eastAsia="zh-CN"/>
                    </w:rPr>
                    <w:t>2022</w:t>
                  </w:r>
                </w:p>
              </w:tc>
              <w:tc>
                <w:tcPr>
                  <w:tcW w:w="12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0A04DB0">
                  <w:pPr>
                    <w:pStyle w:val="18"/>
                    <w:tabs>
                      <w:tab w:val="left" w:pos="617"/>
                      <w:tab w:val="center" w:pos="1770"/>
                    </w:tabs>
                    <w:snapToGrid w:val="0"/>
                    <w:spacing w:line="240" w:lineRule="exact"/>
                    <w:jc w:val="center"/>
                    <w:rPr>
                      <w:rFonts w:hint="default" w:ascii="Times New Roman" w:hAnsi="Times New Roman" w:eastAsia="新宋体" w:cs="Times New Roman"/>
                      <w:b w:val="0"/>
                      <w:bCs w:val="0"/>
                      <w:color w:val="auto"/>
                      <w:kern w:val="2"/>
                      <w:sz w:val="21"/>
                      <w:szCs w:val="21"/>
                      <w:highlight w:val="none"/>
                      <w:lang w:eastAsia="zh-CN"/>
                    </w:rPr>
                  </w:pPr>
                  <w:r>
                    <w:rPr>
                      <w:rFonts w:hint="default" w:ascii="Times New Roman" w:hAnsi="Times New Roman" w:eastAsia="新宋体" w:cs="Times New Roman"/>
                      <w:b w:val="0"/>
                      <w:bCs w:val="0"/>
                      <w:color w:val="auto"/>
                      <w:kern w:val="2"/>
                      <w:sz w:val="21"/>
                      <w:szCs w:val="21"/>
                      <w:highlight w:val="none"/>
                      <w:lang w:eastAsia="zh-CN"/>
                    </w:rPr>
                    <w:t>环境空气 总悬浮颗粒物的测定</w:t>
                  </w:r>
                </w:p>
                <w:p w14:paraId="4768D5C6">
                  <w:pPr>
                    <w:pStyle w:val="18"/>
                    <w:tabs>
                      <w:tab w:val="left" w:pos="617"/>
                      <w:tab w:val="center" w:pos="1770"/>
                    </w:tabs>
                    <w:snapToGrid w:val="0"/>
                    <w:spacing w:line="240" w:lineRule="exact"/>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新宋体" w:cs="Times New Roman"/>
                      <w:b w:val="0"/>
                      <w:bCs w:val="0"/>
                      <w:color w:val="auto"/>
                      <w:kern w:val="2"/>
                      <w:sz w:val="21"/>
                      <w:szCs w:val="21"/>
                      <w:highlight w:val="none"/>
                      <w:lang w:eastAsia="zh-CN"/>
                    </w:rPr>
                    <w:t>重量法</w:t>
                  </w:r>
                </w:p>
              </w:tc>
              <w:tc>
                <w:tcPr>
                  <w:tcW w:w="14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F9E6AE">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MH1200型全自动大气/颗粒物采样器</w:t>
                  </w:r>
                </w:p>
                <w:p w14:paraId="069B0D43">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HDJC/YQ-146~149</w:t>
                  </w:r>
                </w:p>
                <w:p w14:paraId="41244111">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AUW120D十万分之一电子天平</w:t>
                  </w:r>
                </w:p>
                <w:p w14:paraId="1693A3AB">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HDJC/YQ-020</w:t>
                  </w:r>
                </w:p>
                <w:p w14:paraId="7CF4B70B">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JC-AWS9-2恒温恒湿称重系统</w:t>
                  </w:r>
                </w:p>
                <w:p w14:paraId="285BE0A4">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HDJC/YQ-205</w:t>
                  </w:r>
                </w:p>
              </w:tc>
              <w:tc>
                <w:tcPr>
                  <w:tcW w:w="697" w:type="pct"/>
                  <w:tcBorders>
                    <w:top w:val="single" w:color="auto" w:sz="4" w:space="0"/>
                    <w:left w:val="single" w:color="auto" w:sz="4" w:space="0"/>
                    <w:bottom w:val="single" w:color="auto" w:sz="4" w:space="0"/>
                  </w:tcBorders>
                  <w:shd w:val="clear" w:color="auto" w:fill="auto"/>
                  <w:noWrap w:val="0"/>
                  <w:vAlign w:val="center"/>
                </w:tcPr>
                <w:p w14:paraId="60430EFD">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0.168</w:t>
                  </w:r>
                  <w:r>
                    <w:rPr>
                      <w:rFonts w:hint="default" w:ascii="Times New Roman" w:hAnsi="Times New Roman" w:eastAsia="宋体" w:cs="Times New Roman"/>
                      <w:b w:val="0"/>
                      <w:bCs w:val="0"/>
                      <w:color w:val="auto"/>
                      <w:sz w:val="21"/>
                      <w:szCs w:val="21"/>
                      <w:lang w:eastAsia="zh-CN"/>
                    </w:rPr>
                    <w:t>mg/m</w:t>
                  </w:r>
                  <w:r>
                    <w:rPr>
                      <w:rFonts w:hint="default" w:ascii="Times New Roman" w:hAnsi="Times New Roman" w:eastAsia="宋体" w:cs="Times New Roman"/>
                      <w:b w:val="0"/>
                      <w:bCs w:val="0"/>
                      <w:color w:val="auto"/>
                      <w:sz w:val="21"/>
                      <w:szCs w:val="21"/>
                      <w:vertAlign w:val="superscript"/>
                      <w:lang w:eastAsia="zh-CN"/>
                    </w:rPr>
                    <w:t>3</w:t>
                  </w:r>
                </w:p>
              </w:tc>
            </w:tr>
            <w:tr w14:paraId="2C994D6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jc w:val="center"/>
              </w:trPr>
              <w:tc>
                <w:tcPr>
                  <w:tcW w:w="407" w:type="pct"/>
                  <w:vMerge w:val="continue"/>
                  <w:tcBorders>
                    <w:right w:val="single" w:color="auto" w:sz="4" w:space="0"/>
                  </w:tcBorders>
                  <w:noWrap w:val="0"/>
                  <w:vAlign w:val="center"/>
                </w:tcPr>
                <w:p w14:paraId="3045CEB6">
                  <w:pPr>
                    <w:jc w:val="center"/>
                    <w:rPr>
                      <w:rFonts w:hint="default" w:ascii="Times New Roman" w:hAnsi="Times New Roman" w:eastAsia="宋体" w:cs="Times New Roman"/>
                      <w:b w:val="0"/>
                      <w:bCs w:val="0"/>
                      <w:color w:val="auto"/>
                      <w:sz w:val="21"/>
                      <w:szCs w:val="21"/>
                    </w:rPr>
                  </w:pPr>
                </w:p>
              </w:tc>
              <w:tc>
                <w:tcPr>
                  <w:tcW w:w="503" w:type="pct"/>
                  <w:tcBorders>
                    <w:left w:val="single" w:color="auto" w:sz="4" w:space="0"/>
                    <w:right w:val="single" w:color="auto" w:sz="4" w:space="0"/>
                  </w:tcBorders>
                  <w:noWrap w:val="0"/>
                  <w:vAlign w:val="center"/>
                </w:tcPr>
                <w:p w14:paraId="28049F34">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非甲烷总烃</w:t>
                  </w:r>
                </w:p>
              </w:tc>
              <w:tc>
                <w:tcPr>
                  <w:tcW w:w="725" w:type="pct"/>
                  <w:tcBorders>
                    <w:top w:val="single" w:color="auto" w:sz="4" w:space="0"/>
                    <w:left w:val="single" w:color="auto" w:sz="4" w:space="0"/>
                    <w:bottom w:val="single" w:color="auto" w:sz="4" w:space="0"/>
                    <w:right w:val="single" w:color="auto" w:sz="4" w:space="0"/>
                  </w:tcBorders>
                  <w:noWrap w:val="0"/>
                  <w:vAlign w:val="center"/>
                </w:tcPr>
                <w:p w14:paraId="115B28AF">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HJ 604-2017</w:t>
                  </w:r>
                </w:p>
              </w:tc>
              <w:tc>
                <w:tcPr>
                  <w:tcW w:w="1206" w:type="pct"/>
                  <w:tcBorders>
                    <w:top w:val="single" w:color="auto" w:sz="4" w:space="0"/>
                    <w:left w:val="single" w:color="auto" w:sz="4" w:space="0"/>
                    <w:bottom w:val="single" w:color="auto" w:sz="4" w:space="0"/>
                    <w:right w:val="single" w:color="auto" w:sz="4" w:space="0"/>
                  </w:tcBorders>
                  <w:noWrap w:val="0"/>
                  <w:vAlign w:val="center"/>
                </w:tcPr>
                <w:p w14:paraId="74ACA3BD">
                  <w:pPr>
                    <w:tabs>
                      <w:tab w:val="left" w:pos="2100"/>
                    </w:tabs>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环境空气 总烃、甲烷和非甲烷总烃的测定 直接进样-气相色谱法</w:t>
                  </w:r>
                </w:p>
              </w:tc>
              <w:tc>
                <w:tcPr>
                  <w:tcW w:w="1460" w:type="pct"/>
                  <w:tcBorders>
                    <w:top w:val="single" w:color="auto" w:sz="4" w:space="0"/>
                    <w:left w:val="single" w:color="auto" w:sz="4" w:space="0"/>
                    <w:bottom w:val="single" w:color="auto" w:sz="4" w:space="0"/>
                    <w:right w:val="single" w:color="auto" w:sz="4" w:space="0"/>
                  </w:tcBorders>
                  <w:noWrap w:val="0"/>
                  <w:vAlign w:val="center"/>
                </w:tcPr>
                <w:p w14:paraId="2880E4A6">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MH1200型全自动大气/颗粒物采样器</w:t>
                  </w:r>
                </w:p>
                <w:p w14:paraId="279005C3">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HDJC/YQ-146~149</w:t>
                  </w:r>
                </w:p>
                <w:p w14:paraId="11C5D3BE">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GC-1690气相色谱</w:t>
                  </w:r>
                </w:p>
                <w:p w14:paraId="14CBC58A">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HDJC/YQ-043</w:t>
                  </w:r>
                </w:p>
              </w:tc>
              <w:tc>
                <w:tcPr>
                  <w:tcW w:w="697" w:type="pct"/>
                  <w:tcBorders>
                    <w:top w:val="single" w:color="auto" w:sz="4" w:space="0"/>
                    <w:left w:val="single" w:color="auto" w:sz="4" w:space="0"/>
                    <w:bottom w:val="single" w:color="auto" w:sz="4" w:space="0"/>
                  </w:tcBorders>
                  <w:noWrap w:val="0"/>
                  <w:vAlign w:val="center"/>
                </w:tcPr>
                <w:p w14:paraId="0337C99C">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0.0</w:t>
                  </w:r>
                  <w:r>
                    <w:rPr>
                      <w:rFonts w:hint="default" w:ascii="Times New Roman" w:hAnsi="Times New Roman" w:eastAsia="宋体" w:cs="Times New Roman"/>
                      <w:b w:val="0"/>
                      <w:bCs w:val="0"/>
                      <w:color w:val="auto"/>
                      <w:sz w:val="21"/>
                      <w:szCs w:val="21"/>
                      <w:lang w:val="en-US" w:eastAsia="zh-CN"/>
                    </w:rPr>
                    <w:t>7</w:t>
                  </w:r>
                  <w:r>
                    <w:rPr>
                      <w:rFonts w:hint="default" w:ascii="Times New Roman" w:hAnsi="Times New Roman" w:eastAsia="宋体" w:cs="Times New Roman"/>
                      <w:b w:val="0"/>
                      <w:bCs w:val="0"/>
                      <w:color w:val="auto"/>
                      <w:sz w:val="21"/>
                      <w:szCs w:val="21"/>
                    </w:rPr>
                    <w:t>mg/m</w:t>
                  </w:r>
                  <w:r>
                    <w:rPr>
                      <w:rFonts w:hint="default" w:ascii="Times New Roman" w:hAnsi="Times New Roman" w:eastAsia="宋体" w:cs="Times New Roman"/>
                      <w:b w:val="0"/>
                      <w:bCs w:val="0"/>
                      <w:color w:val="auto"/>
                      <w:sz w:val="21"/>
                      <w:szCs w:val="21"/>
                      <w:vertAlign w:val="superscript"/>
                    </w:rPr>
                    <w:t>3</w:t>
                  </w:r>
                </w:p>
              </w:tc>
            </w:tr>
            <w:tr w14:paraId="5D4688B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04" w:hRule="atLeast"/>
                <w:jc w:val="center"/>
              </w:trPr>
              <w:tc>
                <w:tcPr>
                  <w:tcW w:w="407" w:type="pct"/>
                  <w:vMerge w:val="restart"/>
                  <w:tcBorders>
                    <w:top w:val="single" w:color="auto" w:sz="4" w:space="0"/>
                    <w:right w:val="single" w:color="auto" w:sz="4" w:space="0"/>
                  </w:tcBorders>
                  <w:noWrap w:val="0"/>
                  <w:vAlign w:val="center"/>
                </w:tcPr>
                <w:p w14:paraId="091F239E">
                  <w:pPr>
                    <w:widowControl/>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vertAlign w:val="baseline"/>
                      <w:lang w:eastAsia="zh-CN"/>
                    </w:rPr>
                    <w:t>水和废水</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63D93D82">
                  <w:pPr>
                    <w:widowControl/>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pH值</w:t>
                  </w:r>
                </w:p>
              </w:tc>
              <w:tc>
                <w:tcPr>
                  <w:tcW w:w="725" w:type="pct"/>
                  <w:tcBorders>
                    <w:top w:val="single" w:color="auto" w:sz="4" w:space="0"/>
                    <w:left w:val="single" w:color="auto" w:sz="4" w:space="0"/>
                    <w:bottom w:val="single" w:color="auto" w:sz="4" w:space="0"/>
                    <w:right w:val="single" w:color="auto" w:sz="4" w:space="0"/>
                  </w:tcBorders>
                  <w:noWrap w:val="0"/>
                  <w:vAlign w:val="center"/>
                </w:tcPr>
                <w:p w14:paraId="4A8F5173">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highlight w:val="none"/>
                      <w:lang w:val="en-US" w:eastAsia="zh-CN"/>
                    </w:rPr>
                    <w:t>HJ 1147-2020</w:t>
                  </w:r>
                </w:p>
              </w:tc>
              <w:tc>
                <w:tcPr>
                  <w:tcW w:w="1206" w:type="pct"/>
                  <w:tcBorders>
                    <w:top w:val="single" w:color="auto" w:sz="4" w:space="0"/>
                    <w:left w:val="single" w:color="auto" w:sz="4" w:space="0"/>
                    <w:bottom w:val="single" w:color="auto" w:sz="4" w:space="0"/>
                    <w:right w:val="single" w:color="auto" w:sz="4" w:space="0"/>
                  </w:tcBorders>
                  <w:noWrap w:val="0"/>
                  <w:vAlign w:val="center"/>
                </w:tcPr>
                <w:p w14:paraId="2FA61278">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highlight w:val="none"/>
                      <w:lang w:val="en-US" w:eastAsia="zh-CN"/>
                    </w:rPr>
                    <w:t>水质 pH 值的测定 电极法</w:t>
                  </w:r>
                </w:p>
              </w:tc>
              <w:tc>
                <w:tcPr>
                  <w:tcW w:w="1460" w:type="pct"/>
                  <w:tcBorders>
                    <w:top w:val="single" w:color="auto" w:sz="4" w:space="0"/>
                    <w:left w:val="single" w:color="auto" w:sz="4" w:space="0"/>
                    <w:bottom w:val="single" w:color="auto" w:sz="4" w:space="0"/>
                    <w:right w:val="single" w:color="auto" w:sz="4" w:space="0"/>
                  </w:tcBorders>
                  <w:noWrap w:val="0"/>
                  <w:vAlign w:val="center"/>
                </w:tcPr>
                <w:p w14:paraId="33F5596A">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PHB-4便携式pH计HDJC/YQ-</w:t>
                  </w:r>
                  <w:r>
                    <w:rPr>
                      <w:rFonts w:hint="default" w:ascii="Times New Roman" w:hAnsi="Times New Roman" w:eastAsia="宋体" w:cs="Times New Roman"/>
                      <w:b w:val="0"/>
                      <w:bCs w:val="0"/>
                      <w:color w:val="auto"/>
                      <w:sz w:val="21"/>
                      <w:szCs w:val="21"/>
                      <w:lang w:val="en-US" w:eastAsia="zh-CN"/>
                    </w:rPr>
                    <w:t>123</w:t>
                  </w:r>
                </w:p>
              </w:tc>
              <w:tc>
                <w:tcPr>
                  <w:tcW w:w="697" w:type="pct"/>
                  <w:tcBorders>
                    <w:top w:val="single" w:color="auto" w:sz="4" w:space="0"/>
                    <w:left w:val="single" w:color="auto" w:sz="4" w:space="0"/>
                    <w:bottom w:val="single" w:color="auto" w:sz="4" w:space="0"/>
                  </w:tcBorders>
                  <w:noWrap w:val="0"/>
                  <w:vAlign w:val="center"/>
                </w:tcPr>
                <w:p w14:paraId="38CF01C3">
                  <w:pPr>
                    <w:widowControl/>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kern w:val="0"/>
                      <w:sz w:val="21"/>
                      <w:szCs w:val="21"/>
                      <w:lang w:val="en-US" w:eastAsia="zh-CN" w:bidi="ar"/>
                    </w:rPr>
                    <w:t>/</w:t>
                  </w:r>
                </w:p>
              </w:tc>
            </w:tr>
            <w:tr w14:paraId="63554A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04" w:hRule="atLeast"/>
                <w:jc w:val="center"/>
              </w:trPr>
              <w:tc>
                <w:tcPr>
                  <w:tcW w:w="407" w:type="pct"/>
                  <w:vMerge w:val="continue"/>
                  <w:tcBorders>
                    <w:right w:val="single" w:color="auto" w:sz="4" w:space="0"/>
                  </w:tcBorders>
                  <w:noWrap w:val="0"/>
                  <w:vAlign w:val="center"/>
                </w:tcPr>
                <w:p w14:paraId="7DCD2FE1">
                  <w:pPr>
                    <w:widowControl/>
                    <w:spacing w:line="280" w:lineRule="exact"/>
                    <w:ind w:left="105" w:leftChars="0" w:hanging="105" w:hangingChars="50"/>
                    <w:jc w:val="center"/>
                    <w:rPr>
                      <w:rFonts w:hint="default" w:ascii="Times New Roman" w:hAnsi="Times New Roman" w:eastAsia="宋体" w:cs="Times New Roman"/>
                      <w:b w:val="0"/>
                      <w:bCs w:val="0"/>
                      <w:color w:val="auto"/>
                      <w:sz w:val="21"/>
                      <w:szCs w:val="21"/>
                      <w:lang w:val="en-US" w:eastAsia="zh-CN"/>
                    </w:rPr>
                  </w:pP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332792">
                  <w:pPr>
                    <w:keepNext w:val="0"/>
                    <w:keepLines w:val="0"/>
                    <w:pageBreakBefore w:val="0"/>
                    <w:widowControl w:val="0"/>
                    <w:kinsoku/>
                    <w:wordWrap/>
                    <w:overflowPunct/>
                    <w:topLinePunct w:val="0"/>
                    <w:autoSpaceDE/>
                    <w:autoSpaceDN/>
                    <w:bidi w:val="0"/>
                    <w:snapToGrid/>
                    <w:spacing w:line="240" w:lineRule="auto"/>
                    <w:ind w:right="0" w:right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COD</w:t>
                  </w:r>
                  <w:r>
                    <w:rPr>
                      <w:rFonts w:hint="default" w:ascii="Times New Roman" w:hAnsi="Times New Roman" w:eastAsia="宋体" w:cs="Times New Roman"/>
                      <w:b w:val="0"/>
                      <w:bCs w:val="0"/>
                      <w:color w:val="auto"/>
                      <w:sz w:val="21"/>
                      <w:szCs w:val="21"/>
                      <w:vertAlign w:val="subscript"/>
                    </w:rPr>
                    <w:t>Cr</w:t>
                  </w:r>
                </w:p>
              </w:tc>
              <w:tc>
                <w:tcPr>
                  <w:tcW w:w="7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CDC20A">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HJ 828-2017</w:t>
                  </w:r>
                </w:p>
              </w:tc>
              <w:tc>
                <w:tcPr>
                  <w:tcW w:w="12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A58E112">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水质 化学需氧量的测定 重铬酸盐法</w:t>
                  </w:r>
                </w:p>
              </w:tc>
              <w:tc>
                <w:tcPr>
                  <w:tcW w:w="14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63B3A4">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50ml滴定管</w:t>
                  </w:r>
                </w:p>
              </w:tc>
              <w:tc>
                <w:tcPr>
                  <w:tcW w:w="697" w:type="pct"/>
                  <w:tcBorders>
                    <w:top w:val="single" w:color="auto" w:sz="4" w:space="0"/>
                    <w:left w:val="single" w:color="auto" w:sz="4" w:space="0"/>
                    <w:bottom w:val="single" w:color="auto" w:sz="4" w:space="0"/>
                  </w:tcBorders>
                  <w:shd w:val="clear" w:color="auto" w:fill="auto"/>
                  <w:noWrap w:val="0"/>
                  <w:vAlign w:val="center"/>
                </w:tcPr>
                <w:p w14:paraId="6EEA9348">
                  <w:pPr>
                    <w:widowControl/>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4mg/L</w:t>
                  </w:r>
                </w:p>
              </w:tc>
            </w:tr>
            <w:tr w14:paraId="5959713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23" w:hRule="atLeast"/>
                <w:jc w:val="center"/>
              </w:trPr>
              <w:tc>
                <w:tcPr>
                  <w:tcW w:w="407" w:type="pct"/>
                  <w:vMerge w:val="continue"/>
                  <w:tcBorders>
                    <w:right w:val="single" w:color="auto" w:sz="4" w:space="0"/>
                  </w:tcBorders>
                  <w:noWrap w:val="0"/>
                  <w:vAlign w:val="center"/>
                </w:tcPr>
                <w:p w14:paraId="43699ACB">
                  <w:pPr>
                    <w:widowControl/>
                    <w:jc w:val="center"/>
                    <w:textAlignment w:val="center"/>
                    <w:rPr>
                      <w:rFonts w:hint="default" w:ascii="Times New Roman" w:hAnsi="Times New Roman" w:eastAsia="宋体" w:cs="Times New Roman"/>
                      <w:b w:val="0"/>
                      <w:bCs w:val="0"/>
                      <w:color w:val="auto"/>
                      <w:sz w:val="21"/>
                      <w:szCs w:val="21"/>
                      <w:lang w:val="en-US" w:eastAsia="zh-CN"/>
                    </w:rPr>
                  </w:pP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A80868">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rPr>
                    <w:t>BOD</w:t>
                  </w:r>
                  <w:r>
                    <w:rPr>
                      <w:rFonts w:hint="default" w:ascii="Times New Roman" w:hAnsi="Times New Roman" w:cs="Times New Roman"/>
                      <w:b w:val="0"/>
                      <w:bCs w:val="0"/>
                      <w:color w:val="auto"/>
                      <w:sz w:val="21"/>
                      <w:szCs w:val="21"/>
                      <w:vertAlign w:val="subscript"/>
                    </w:rPr>
                    <w:t>5</w:t>
                  </w:r>
                </w:p>
              </w:tc>
              <w:tc>
                <w:tcPr>
                  <w:tcW w:w="7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A0C055">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HJ 505-2009</w:t>
                  </w:r>
                </w:p>
              </w:tc>
              <w:tc>
                <w:tcPr>
                  <w:tcW w:w="12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FA87933">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水质 五日生化需氧量（BOD</w:t>
                  </w:r>
                  <w:r>
                    <w:rPr>
                      <w:rFonts w:hint="default" w:ascii="Times New Roman" w:hAnsi="Times New Roman" w:eastAsia="宋体" w:cs="Times New Roman"/>
                      <w:b w:val="0"/>
                      <w:bCs w:val="0"/>
                      <w:color w:val="auto"/>
                      <w:sz w:val="21"/>
                      <w:szCs w:val="21"/>
                      <w:vertAlign w:val="subscript"/>
                    </w:rPr>
                    <w:t>5</w:t>
                  </w:r>
                  <w:r>
                    <w:rPr>
                      <w:rFonts w:hint="default" w:ascii="Times New Roman" w:hAnsi="Times New Roman" w:eastAsia="宋体" w:cs="Times New Roman"/>
                      <w:b w:val="0"/>
                      <w:bCs w:val="0"/>
                      <w:color w:val="auto"/>
                      <w:sz w:val="21"/>
                      <w:szCs w:val="21"/>
                    </w:rPr>
                    <w:t>）的测定 稀释与接种法</w:t>
                  </w:r>
                </w:p>
              </w:tc>
              <w:tc>
                <w:tcPr>
                  <w:tcW w:w="14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2FEEFA">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JPSJ-605F溶解氧测定仪HDJC/YQ-130</w:t>
                  </w:r>
                </w:p>
                <w:p w14:paraId="21F7A655">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SPX-</w:t>
                  </w:r>
                  <w:r>
                    <w:rPr>
                      <w:rFonts w:hint="default" w:ascii="Times New Roman" w:hAnsi="Times New Roman" w:eastAsia="宋体" w:cs="Times New Roman"/>
                      <w:b w:val="0"/>
                      <w:bCs w:val="0"/>
                      <w:color w:val="auto"/>
                      <w:sz w:val="21"/>
                      <w:szCs w:val="21"/>
                      <w:lang w:val="en-US" w:eastAsia="zh-CN"/>
                    </w:rPr>
                    <w:t>15</w:t>
                  </w:r>
                  <w:r>
                    <w:rPr>
                      <w:rFonts w:hint="default" w:ascii="Times New Roman" w:hAnsi="Times New Roman" w:eastAsia="宋体" w:cs="Times New Roman"/>
                      <w:b w:val="0"/>
                      <w:bCs w:val="0"/>
                      <w:color w:val="auto"/>
                      <w:sz w:val="21"/>
                      <w:szCs w:val="21"/>
                    </w:rPr>
                    <w:t>0生化培养箱HDJC/YQ-</w:t>
                  </w:r>
                  <w:r>
                    <w:rPr>
                      <w:rFonts w:hint="default" w:ascii="Times New Roman" w:hAnsi="Times New Roman" w:eastAsia="宋体" w:cs="Times New Roman"/>
                      <w:b w:val="0"/>
                      <w:bCs w:val="0"/>
                      <w:color w:val="auto"/>
                      <w:sz w:val="21"/>
                      <w:szCs w:val="21"/>
                      <w:lang w:val="en-US" w:eastAsia="zh-CN"/>
                    </w:rPr>
                    <w:t>179</w:t>
                  </w:r>
                </w:p>
              </w:tc>
              <w:tc>
                <w:tcPr>
                  <w:tcW w:w="697" w:type="pct"/>
                  <w:tcBorders>
                    <w:top w:val="single" w:color="auto" w:sz="4" w:space="0"/>
                    <w:left w:val="single" w:color="auto" w:sz="4" w:space="0"/>
                    <w:bottom w:val="single" w:color="auto" w:sz="4" w:space="0"/>
                  </w:tcBorders>
                  <w:shd w:val="clear" w:color="auto" w:fill="auto"/>
                  <w:noWrap w:val="0"/>
                  <w:vAlign w:val="center"/>
                </w:tcPr>
                <w:p w14:paraId="475F45E5">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rPr>
                    <w:t>0.5 mg/L</w:t>
                  </w:r>
                </w:p>
              </w:tc>
            </w:tr>
            <w:tr w14:paraId="44BADB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jc w:val="center"/>
              </w:trPr>
              <w:tc>
                <w:tcPr>
                  <w:tcW w:w="407" w:type="pct"/>
                  <w:vMerge w:val="continue"/>
                  <w:tcBorders>
                    <w:right w:val="single" w:color="auto" w:sz="4" w:space="0"/>
                  </w:tcBorders>
                  <w:noWrap w:val="0"/>
                  <w:vAlign w:val="center"/>
                </w:tcPr>
                <w:p w14:paraId="3AE2F5B6">
                  <w:pPr>
                    <w:keepNext w:val="0"/>
                    <w:keepLines w:val="0"/>
                    <w:pageBreakBefore w:val="0"/>
                    <w:widowControl w:val="0"/>
                    <w:kinsoku/>
                    <w:wordWrap/>
                    <w:overflowPunct/>
                    <w:topLinePunct w:val="0"/>
                    <w:autoSpaceDE/>
                    <w:autoSpaceDN/>
                    <w:bidi w:val="0"/>
                    <w:snapToGrid/>
                    <w:spacing w:line="240" w:lineRule="auto"/>
                    <w:ind w:right="0" w:rightChars="0"/>
                    <w:jc w:val="center"/>
                    <w:textAlignment w:val="auto"/>
                    <w:rPr>
                      <w:rFonts w:hint="default" w:ascii="Times New Roman" w:hAnsi="Times New Roman" w:eastAsia="宋体" w:cs="Times New Roman"/>
                      <w:b w:val="0"/>
                      <w:bCs w:val="0"/>
                      <w:color w:val="auto"/>
                      <w:sz w:val="21"/>
                      <w:szCs w:val="21"/>
                    </w:rPr>
                  </w:pP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31A7DAB">
                  <w:pPr>
                    <w:widowControl/>
                    <w:spacing w:line="280" w:lineRule="exact"/>
                    <w:ind w:left="105" w:leftChars="0" w:hanging="105" w:hangingChars="5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SS</w:t>
                  </w:r>
                </w:p>
              </w:tc>
              <w:tc>
                <w:tcPr>
                  <w:tcW w:w="7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8E52486">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GB 11901-89</w:t>
                  </w:r>
                </w:p>
              </w:tc>
              <w:tc>
                <w:tcPr>
                  <w:tcW w:w="12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13F3FC">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水质 悬浮物的测定 重量法</w:t>
                  </w:r>
                </w:p>
              </w:tc>
              <w:tc>
                <w:tcPr>
                  <w:tcW w:w="14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B3E94B">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FA1004B</w:t>
                  </w:r>
                  <w:r>
                    <w:rPr>
                      <w:rFonts w:hint="default" w:ascii="Times New Roman" w:hAnsi="Times New Roman" w:eastAsia="宋体" w:cs="Times New Roman"/>
                      <w:b w:val="0"/>
                      <w:bCs w:val="0"/>
                      <w:color w:val="auto"/>
                      <w:sz w:val="21"/>
                      <w:szCs w:val="21"/>
                    </w:rPr>
                    <w:t>万分之一电子天平HDJC/YQ-02</w:t>
                  </w:r>
                  <w:r>
                    <w:rPr>
                      <w:rFonts w:hint="default" w:ascii="Times New Roman" w:hAnsi="Times New Roman" w:eastAsia="宋体" w:cs="Times New Roman"/>
                      <w:b w:val="0"/>
                      <w:bCs w:val="0"/>
                      <w:color w:val="auto"/>
                      <w:sz w:val="21"/>
                      <w:szCs w:val="21"/>
                      <w:lang w:val="en-US" w:eastAsia="zh-CN"/>
                    </w:rPr>
                    <w:t>1</w:t>
                  </w:r>
                </w:p>
              </w:tc>
              <w:tc>
                <w:tcPr>
                  <w:tcW w:w="697" w:type="pct"/>
                  <w:tcBorders>
                    <w:top w:val="single" w:color="auto" w:sz="4" w:space="0"/>
                    <w:left w:val="single" w:color="auto" w:sz="4" w:space="0"/>
                    <w:bottom w:val="single" w:color="auto" w:sz="4" w:space="0"/>
                  </w:tcBorders>
                  <w:shd w:val="clear" w:color="auto" w:fill="auto"/>
                  <w:noWrap w:val="0"/>
                  <w:vAlign w:val="center"/>
                </w:tcPr>
                <w:p w14:paraId="6062676D">
                  <w:pPr>
                    <w:widowControl/>
                    <w:spacing w:line="280" w:lineRule="exact"/>
                    <w:ind w:left="105" w:leftChars="0" w:hanging="105" w:hangingChars="5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w:t>
                  </w:r>
                </w:p>
              </w:tc>
            </w:tr>
            <w:tr w14:paraId="6ED8E94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jc w:val="center"/>
              </w:trPr>
              <w:tc>
                <w:tcPr>
                  <w:tcW w:w="407" w:type="pct"/>
                  <w:vMerge w:val="continue"/>
                  <w:tcBorders>
                    <w:right w:val="single" w:color="auto" w:sz="4" w:space="0"/>
                  </w:tcBorders>
                  <w:noWrap w:val="0"/>
                  <w:vAlign w:val="center"/>
                </w:tcPr>
                <w:p w14:paraId="01426E7E">
                  <w:pPr>
                    <w:jc w:val="center"/>
                    <w:rPr>
                      <w:rFonts w:hint="default" w:ascii="Times New Roman" w:hAnsi="Times New Roman" w:cs="Times New Roman"/>
                      <w:b w:val="0"/>
                      <w:bCs w:val="0"/>
                      <w:color w:val="auto"/>
                      <w:sz w:val="21"/>
                      <w:szCs w:val="21"/>
                    </w:rPr>
                  </w:pP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81E8D41">
                  <w:pPr>
                    <w:widowControl/>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氨氮</w:t>
                  </w:r>
                </w:p>
              </w:tc>
              <w:tc>
                <w:tcPr>
                  <w:tcW w:w="7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46445BB">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HJ 535-2009</w:t>
                  </w:r>
                </w:p>
              </w:tc>
              <w:tc>
                <w:tcPr>
                  <w:tcW w:w="12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DB7858">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 xml:space="preserve">水质 氨氮的测定 </w:t>
                  </w:r>
                </w:p>
                <w:p w14:paraId="276CDE91">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纳氏试剂分光光度法</w:t>
                  </w:r>
                </w:p>
              </w:tc>
              <w:tc>
                <w:tcPr>
                  <w:tcW w:w="14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B21092">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721G可见分光光度计HDJC/YQ-032</w:t>
                  </w:r>
                </w:p>
              </w:tc>
              <w:tc>
                <w:tcPr>
                  <w:tcW w:w="697" w:type="pct"/>
                  <w:tcBorders>
                    <w:top w:val="single" w:color="auto" w:sz="4" w:space="0"/>
                    <w:left w:val="single" w:color="auto" w:sz="4" w:space="0"/>
                    <w:bottom w:val="single" w:color="auto" w:sz="4" w:space="0"/>
                  </w:tcBorders>
                  <w:shd w:val="clear" w:color="auto" w:fill="auto"/>
                  <w:noWrap w:val="0"/>
                  <w:vAlign w:val="center"/>
                </w:tcPr>
                <w:p w14:paraId="33E1CF76">
                  <w:pPr>
                    <w:widowControl/>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0.025mg/L</w:t>
                  </w:r>
                </w:p>
              </w:tc>
            </w:tr>
            <w:tr w14:paraId="53DA64C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jc w:val="center"/>
              </w:trPr>
              <w:tc>
                <w:tcPr>
                  <w:tcW w:w="407" w:type="pct"/>
                  <w:vMerge w:val="continue"/>
                  <w:tcBorders>
                    <w:right w:val="single" w:color="auto" w:sz="4" w:space="0"/>
                  </w:tcBorders>
                  <w:noWrap w:val="0"/>
                  <w:vAlign w:val="center"/>
                </w:tcPr>
                <w:p w14:paraId="68AA97C4">
                  <w:pPr>
                    <w:jc w:val="center"/>
                    <w:rPr>
                      <w:rFonts w:hint="default" w:ascii="Times New Roman" w:hAnsi="Times New Roman" w:cs="Times New Roman"/>
                      <w:b w:val="0"/>
                      <w:bCs w:val="0"/>
                      <w:color w:val="auto"/>
                      <w:sz w:val="21"/>
                      <w:szCs w:val="21"/>
                    </w:rPr>
                  </w:pP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D1EAB80">
                  <w:pPr>
                    <w:widowControl/>
                    <w:spacing w:line="280" w:lineRule="exact"/>
                    <w:ind w:left="105" w:leftChars="0" w:hanging="105" w:hangingChars="5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TP</w:t>
                  </w:r>
                </w:p>
              </w:tc>
              <w:tc>
                <w:tcPr>
                  <w:tcW w:w="7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4FBDA6">
                  <w:pPr>
                    <w:tabs>
                      <w:tab w:val="left" w:pos="2100"/>
                    </w:tabs>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GB 11893-89</w:t>
                  </w:r>
                </w:p>
              </w:tc>
              <w:tc>
                <w:tcPr>
                  <w:tcW w:w="12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7A0DA04">
                  <w:pPr>
                    <w:tabs>
                      <w:tab w:val="left" w:pos="2100"/>
                    </w:tabs>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水质 总磷的测定 钼酸铵分光光度法</w:t>
                  </w:r>
                </w:p>
              </w:tc>
              <w:tc>
                <w:tcPr>
                  <w:tcW w:w="14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9A78877">
                  <w:pPr>
                    <w:tabs>
                      <w:tab w:val="left" w:pos="2100"/>
                    </w:tabs>
                    <w:jc w:val="center"/>
                    <w:textAlignment w:val="baseline"/>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721G</w:t>
                  </w:r>
                  <w:r>
                    <w:rPr>
                      <w:rFonts w:hint="default" w:ascii="Times New Roman" w:hAnsi="Times New Roman" w:eastAsia="宋体" w:cs="Times New Roman"/>
                      <w:b w:val="0"/>
                      <w:bCs w:val="0"/>
                      <w:color w:val="auto"/>
                      <w:sz w:val="21"/>
                      <w:szCs w:val="21"/>
                    </w:rPr>
                    <w:t>可见分光光度计</w:t>
                  </w:r>
                </w:p>
                <w:p w14:paraId="06BDCD94">
                  <w:pPr>
                    <w:tabs>
                      <w:tab w:val="left" w:pos="2100"/>
                    </w:tabs>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HDJC/YQ-032</w:t>
                  </w:r>
                </w:p>
              </w:tc>
              <w:tc>
                <w:tcPr>
                  <w:tcW w:w="697" w:type="pct"/>
                  <w:tcBorders>
                    <w:top w:val="single" w:color="auto" w:sz="4" w:space="0"/>
                    <w:left w:val="single" w:color="auto" w:sz="4" w:space="0"/>
                    <w:bottom w:val="single" w:color="auto" w:sz="4" w:space="0"/>
                  </w:tcBorders>
                  <w:shd w:val="clear" w:color="auto" w:fill="auto"/>
                  <w:noWrap w:val="0"/>
                  <w:vAlign w:val="center"/>
                </w:tcPr>
                <w:p w14:paraId="28D947D1">
                  <w:pPr>
                    <w:widowControl/>
                    <w:spacing w:line="280" w:lineRule="exact"/>
                    <w:ind w:left="105" w:leftChars="0" w:hanging="105" w:hangingChars="5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0.01</w:t>
                  </w:r>
                  <w:r>
                    <w:rPr>
                      <w:rFonts w:hint="default" w:ascii="Times New Roman" w:hAnsi="Times New Roman" w:eastAsia="宋体" w:cs="Times New Roman"/>
                      <w:b w:val="0"/>
                      <w:bCs w:val="0"/>
                      <w:color w:val="auto"/>
                      <w:sz w:val="21"/>
                      <w:szCs w:val="21"/>
                      <w:lang w:val="en-US" w:eastAsia="zh-CN"/>
                    </w:rPr>
                    <w:t>mg/L</w:t>
                  </w:r>
                </w:p>
              </w:tc>
            </w:tr>
            <w:tr w14:paraId="47D3C8C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jc w:val="center"/>
              </w:trPr>
              <w:tc>
                <w:tcPr>
                  <w:tcW w:w="407" w:type="pct"/>
                  <w:vMerge w:val="continue"/>
                  <w:tcBorders>
                    <w:bottom w:val="single" w:color="auto" w:sz="4" w:space="0"/>
                    <w:right w:val="single" w:color="auto" w:sz="4" w:space="0"/>
                  </w:tcBorders>
                  <w:noWrap w:val="0"/>
                  <w:vAlign w:val="center"/>
                </w:tcPr>
                <w:p w14:paraId="063A02A8">
                  <w:pPr>
                    <w:jc w:val="center"/>
                    <w:rPr>
                      <w:rFonts w:hint="default" w:ascii="Times New Roman" w:hAnsi="Times New Roman" w:cs="Times New Roman"/>
                      <w:b w:val="0"/>
                      <w:bCs w:val="0"/>
                      <w:color w:val="auto"/>
                      <w:sz w:val="21"/>
                      <w:szCs w:val="21"/>
                    </w:rPr>
                  </w:pP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412A356">
                  <w:pPr>
                    <w:widowControl/>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动植物油</w:t>
                  </w:r>
                </w:p>
              </w:tc>
              <w:tc>
                <w:tcPr>
                  <w:tcW w:w="72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9835A9">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HJ 637-2018</w:t>
                  </w:r>
                </w:p>
              </w:tc>
              <w:tc>
                <w:tcPr>
                  <w:tcW w:w="12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A7D93ED">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水质 石油类和动植物油类的测定 红外分光光度法</w:t>
                  </w:r>
                </w:p>
              </w:tc>
              <w:tc>
                <w:tcPr>
                  <w:tcW w:w="14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E563C57">
                  <w:pPr>
                    <w:tabs>
                      <w:tab w:val="left" w:pos="2100"/>
                    </w:tabs>
                    <w:spacing w:line="320" w:lineRule="exact"/>
                    <w:jc w:val="center"/>
                    <w:textAlignment w:val="baseline"/>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LT-21A红外分光测油仪</w:t>
                  </w:r>
                </w:p>
                <w:p w14:paraId="7F046AB7">
                  <w:pPr>
                    <w:tabs>
                      <w:tab w:val="left" w:pos="2100"/>
                    </w:tabs>
                    <w:spacing w:line="320" w:lineRule="exact"/>
                    <w:jc w:val="center"/>
                    <w:textAlignment w:val="baseline"/>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HDJC/YQ-026</w:t>
                  </w:r>
                </w:p>
              </w:tc>
              <w:tc>
                <w:tcPr>
                  <w:tcW w:w="697" w:type="pct"/>
                  <w:tcBorders>
                    <w:top w:val="single" w:color="auto" w:sz="4" w:space="0"/>
                    <w:left w:val="single" w:color="auto" w:sz="4" w:space="0"/>
                    <w:bottom w:val="single" w:color="auto" w:sz="4" w:space="0"/>
                  </w:tcBorders>
                  <w:shd w:val="clear" w:color="auto" w:fill="auto"/>
                  <w:noWrap w:val="0"/>
                  <w:vAlign w:val="center"/>
                </w:tcPr>
                <w:p w14:paraId="778B0862">
                  <w:pPr>
                    <w:widowControl/>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0.06</w:t>
                  </w:r>
                  <w:r>
                    <w:rPr>
                      <w:rFonts w:hint="default" w:ascii="Times New Roman" w:hAnsi="Times New Roman" w:eastAsia="宋体" w:cs="Times New Roman"/>
                      <w:b w:val="0"/>
                      <w:bCs w:val="0"/>
                      <w:color w:val="auto"/>
                      <w:sz w:val="21"/>
                      <w:szCs w:val="21"/>
                      <w:lang w:val="en-US" w:eastAsia="zh-CN"/>
                    </w:rPr>
                    <w:t>mg/L</w:t>
                  </w:r>
                </w:p>
              </w:tc>
            </w:tr>
            <w:tr w14:paraId="1819708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atLeast"/>
                <w:jc w:val="center"/>
              </w:trPr>
              <w:tc>
                <w:tcPr>
                  <w:tcW w:w="407" w:type="pct"/>
                  <w:tcBorders>
                    <w:top w:val="single" w:color="auto" w:sz="4" w:space="0"/>
                    <w:right w:val="single" w:color="auto" w:sz="4" w:space="0"/>
                  </w:tcBorders>
                  <w:noWrap w:val="0"/>
                  <w:vAlign w:val="center"/>
                </w:tcPr>
                <w:p w14:paraId="71DE3F6E">
                  <w:pPr>
                    <w:pStyle w:val="22"/>
                    <w:jc w:val="center"/>
                    <w:rPr>
                      <w:rFonts w:hint="default" w:ascii="Times New Roman" w:hAnsi="Times New Roman"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sz w:val="21"/>
                      <w:szCs w:val="21"/>
                      <w:vertAlign w:val="baseline"/>
                      <w:lang w:eastAsia="zh-CN"/>
                    </w:rPr>
                    <w:t>噪声</w:t>
                  </w:r>
                </w:p>
              </w:tc>
              <w:tc>
                <w:tcPr>
                  <w:tcW w:w="503" w:type="pct"/>
                  <w:tcBorders>
                    <w:top w:val="single" w:color="auto" w:sz="4" w:space="0"/>
                    <w:left w:val="single" w:color="auto" w:sz="4" w:space="0"/>
                    <w:right w:val="single" w:color="auto" w:sz="4" w:space="0"/>
                  </w:tcBorders>
                  <w:noWrap w:val="0"/>
                  <w:vAlign w:val="center"/>
                </w:tcPr>
                <w:p w14:paraId="65A1F26E">
                  <w:pPr>
                    <w:pStyle w:val="22"/>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0"/>
                      <w:sz w:val="21"/>
                      <w:szCs w:val="21"/>
                      <w:lang w:val="en-US" w:eastAsia="zh-CN" w:bidi="ar-SA"/>
                    </w:rPr>
                    <w:t>厂界噪声</w:t>
                  </w:r>
                </w:p>
              </w:tc>
              <w:tc>
                <w:tcPr>
                  <w:tcW w:w="725" w:type="pct"/>
                  <w:tcBorders>
                    <w:top w:val="single" w:color="auto" w:sz="4" w:space="0"/>
                    <w:left w:val="single" w:color="auto" w:sz="4" w:space="0"/>
                    <w:right w:val="single" w:color="auto" w:sz="4" w:space="0"/>
                  </w:tcBorders>
                  <w:noWrap w:val="0"/>
                  <w:vAlign w:val="center"/>
                </w:tcPr>
                <w:p w14:paraId="6F3D0C7F">
                  <w:pPr>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GB 12348-2008</w:t>
                  </w:r>
                </w:p>
              </w:tc>
              <w:tc>
                <w:tcPr>
                  <w:tcW w:w="1206" w:type="pct"/>
                  <w:tcBorders>
                    <w:top w:val="single" w:color="auto" w:sz="4" w:space="0"/>
                    <w:left w:val="single" w:color="auto" w:sz="4" w:space="0"/>
                    <w:right w:val="single" w:color="auto" w:sz="4" w:space="0"/>
                  </w:tcBorders>
                  <w:noWrap w:val="0"/>
                  <w:vAlign w:val="center"/>
                </w:tcPr>
                <w:p w14:paraId="657B46C9">
                  <w:pPr>
                    <w:widowControl/>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0"/>
                      <w:sz w:val="21"/>
                      <w:szCs w:val="21"/>
                      <w:lang w:eastAsia="zh-CN"/>
                    </w:rPr>
                    <w:t>工业企业厂界环境噪声排放标准</w:t>
                  </w:r>
                </w:p>
              </w:tc>
              <w:tc>
                <w:tcPr>
                  <w:tcW w:w="1460" w:type="pct"/>
                  <w:tcBorders>
                    <w:top w:val="single" w:color="auto" w:sz="4" w:space="0"/>
                    <w:left w:val="single" w:color="auto" w:sz="4" w:space="0"/>
                    <w:right w:val="single" w:color="auto" w:sz="4" w:space="0"/>
                  </w:tcBorders>
                  <w:noWrap w:val="0"/>
                  <w:vAlign w:val="center"/>
                </w:tcPr>
                <w:p w14:paraId="1FD24D1C">
                  <w:pPr>
                    <w:jc w:val="center"/>
                    <w:rPr>
                      <w:rFonts w:hint="default" w:ascii="Times New Roman" w:hAnsi="Times New Roman"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rPr>
                    <w:t>AWA-</w:t>
                  </w:r>
                  <w:r>
                    <w:rPr>
                      <w:rFonts w:hint="default" w:ascii="Times New Roman" w:hAnsi="Times New Roman" w:eastAsia="宋体" w:cs="Times New Roman"/>
                      <w:b w:val="0"/>
                      <w:bCs w:val="0"/>
                      <w:color w:val="auto"/>
                      <w:kern w:val="2"/>
                      <w:sz w:val="21"/>
                      <w:szCs w:val="21"/>
                      <w:lang w:val="en-US" w:eastAsia="zh-CN"/>
                    </w:rPr>
                    <w:t>5688</w:t>
                  </w:r>
                  <w:r>
                    <w:rPr>
                      <w:rFonts w:hint="default" w:ascii="Times New Roman" w:hAnsi="Times New Roman" w:eastAsia="宋体" w:cs="Times New Roman"/>
                      <w:b w:val="0"/>
                      <w:bCs w:val="0"/>
                      <w:color w:val="auto"/>
                      <w:kern w:val="2"/>
                      <w:sz w:val="21"/>
                      <w:szCs w:val="21"/>
                      <w:lang w:eastAsia="zh-CN"/>
                    </w:rPr>
                    <w:t>多功能声级</w:t>
                  </w:r>
                  <w:r>
                    <w:rPr>
                      <w:rFonts w:hint="default" w:ascii="Times New Roman" w:hAnsi="Times New Roman" w:eastAsia="宋体" w:cs="Times New Roman"/>
                      <w:b w:val="0"/>
                      <w:bCs w:val="0"/>
                      <w:color w:val="auto"/>
                      <w:kern w:val="2"/>
                      <w:sz w:val="21"/>
                      <w:szCs w:val="21"/>
                      <w:lang w:val="en-US" w:eastAsia="zh-CN"/>
                    </w:rPr>
                    <w:t>计HDJC/YQ-235</w:t>
                  </w:r>
                </w:p>
              </w:tc>
              <w:tc>
                <w:tcPr>
                  <w:tcW w:w="697" w:type="pct"/>
                  <w:tcBorders>
                    <w:top w:val="single" w:color="auto" w:sz="4" w:space="0"/>
                    <w:left w:val="single" w:color="auto" w:sz="4" w:space="0"/>
                  </w:tcBorders>
                  <w:noWrap w:val="0"/>
                  <w:vAlign w:val="center"/>
                </w:tcPr>
                <w:p w14:paraId="24B005C3">
                  <w:pPr>
                    <w:widowControl/>
                    <w:spacing w:line="280" w:lineRule="exact"/>
                    <w:ind w:left="105" w:leftChars="0" w:hanging="105" w:hangingChars="50"/>
                    <w:jc w:val="center"/>
                    <w:rPr>
                      <w:rFonts w:hint="default" w:ascii="Times New Roman" w:hAnsi="Times New Roman" w:cs="Times New Roman"/>
                      <w:b w:val="0"/>
                      <w:bCs w:val="0"/>
                      <w:i w:val="0"/>
                      <w:color w:val="auto"/>
                      <w:kern w:val="0"/>
                      <w:sz w:val="21"/>
                      <w:szCs w:val="21"/>
                      <w:highlight w:val="none"/>
                      <w:u w:val="none"/>
                      <w:lang w:val="en-US" w:eastAsia="zh-CN" w:bidi="ar"/>
                    </w:rPr>
                  </w:pPr>
                  <w:r>
                    <w:rPr>
                      <w:rFonts w:hint="default" w:ascii="Times New Roman" w:hAnsi="Times New Roman" w:cs="Times New Roman"/>
                      <w:b w:val="0"/>
                      <w:bCs w:val="0"/>
                      <w:i w:val="0"/>
                      <w:color w:val="auto"/>
                      <w:kern w:val="0"/>
                      <w:sz w:val="21"/>
                      <w:szCs w:val="21"/>
                      <w:highlight w:val="none"/>
                      <w:u w:val="none"/>
                      <w:lang w:val="en-US" w:eastAsia="zh-CN" w:bidi="ar"/>
                    </w:rPr>
                    <w:t>/</w:t>
                  </w:r>
                </w:p>
              </w:tc>
            </w:tr>
          </w:tbl>
          <w:p w14:paraId="4EC2A6FE">
            <w:pPr>
              <w:spacing w:before="156" w:beforeLines="50" w:line="312" w:lineRule="auto"/>
              <w:rPr>
                <w:b/>
                <w:color w:val="auto"/>
                <w:sz w:val="24"/>
                <w:szCs w:val="24"/>
              </w:rPr>
            </w:pPr>
            <w:r>
              <w:rPr>
                <w:rFonts w:hint="eastAsia"/>
                <w:b/>
                <w:color w:val="auto"/>
                <w:sz w:val="24"/>
                <w:szCs w:val="24"/>
              </w:rPr>
              <w:t xml:space="preserve">5.2 </w:t>
            </w:r>
            <w:r>
              <w:rPr>
                <w:b/>
                <w:color w:val="auto"/>
                <w:sz w:val="24"/>
                <w:szCs w:val="24"/>
              </w:rPr>
              <w:t>监测质量保证措施</w:t>
            </w:r>
          </w:p>
          <w:p w14:paraId="0E89E90D">
            <w:pPr>
              <w:adjustRightInd w:val="0"/>
              <w:snapToGrid w:val="0"/>
              <w:spacing w:line="360" w:lineRule="auto"/>
              <w:ind w:firstLine="480" w:firstLineChars="200"/>
              <w:rPr>
                <w:color w:val="auto"/>
                <w:sz w:val="24"/>
                <w:szCs w:val="24"/>
              </w:rPr>
            </w:pPr>
            <w:r>
              <w:rPr>
                <w:color w:val="auto"/>
                <w:sz w:val="24"/>
                <w:szCs w:val="24"/>
              </w:rPr>
              <w:t>1、严格执行</w:t>
            </w:r>
            <w:r>
              <w:rPr>
                <w:rFonts w:hint="eastAsia"/>
                <w:color w:val="auto"/>
                <w:sz w:val="24"/>
                <w:szCs w:val="24"/>
              </w:rPr>
              <w:t>生态环境</w:t>
            </w:r>
            <w:r>
              <w:rPr>
                <w:color w:val="auto"/>
                <w:sz w:val="24"/>
                <w:szCs w:val="24"/>
              </w:rPr>
              <w:t>部颁布的环境监测相关技术规范与标准方法，实施检测全过程的质量控制。</w:t>
            </w:r>
          </w:p>
          <w:p w14:paraId="7BD9E783">
            <w:pPr>
              <w:adjustRightInd w:val="0"/>
              <w:snapToGrid w:val="0"/>
              <w:spacing w:line="360" w:lineRule="auto"/>
              <w:ind w:firstLine="480" w:firstLineChars="200"/>
              <w:rPr>
                <w:color w:val="auto"/>
                <w:sz w:val="24"/>
                <w:szCs w:val="24"/>
              </w:rPr>
            </w:pPr>
            <w:r>
              <w:rPr>
                <w:color w:val="auto"/>
                <w:sz w:val="24"/>
                <w:szCs w:val="24"/>
              </w:rPr>
              <w:t>2、所有</w:t>
            </w:r>
            <w:r>
              <w:rPr>
                <w:rFonts w:hint="eastAsia"/>
                <w:color w:val="auto"/>
                <w:sz w:val="24"/>
                <w:szCs w:val="24"/>
              </w:rPr>
              <w:t>检</w:t>
            </w:r>
            <w:r>
              <w:rPr>
                <w:color w:val="auto"/>
                <w:sz w:val="24"/>
                <w:szCs w:val="24"/>
              </w:rPr>
              <w:t>测分析仪器均经检定并在有效期内，且参照有关计量检定规程定期进行校验和维护。</w:t>
            </w:r>
          </w:p>
          <w:p w14:paraId="627849E7">
            <w:pPr>
              <w:adjustRightInd w:val="0"/>
              <w:snapToGrid w:val="0"/>
              <w:spacing w:line="360" w:lineRule="auto"/>
              <w:ind w:firstLine="480" w:firstLineChars="200"/>
              <w:rPr>
                <w:color w:val="auto"/>
                <w:sz w:val="24"/>
                <w:szCs w:val="24"/>
              </w:rPr>
            </w:pPr>
            <w:r>
              <w:rPr>
                <w:color w:val="auto"/>
                <w:sz w:val="24"/>
                <w:szCs w:val="24"/>
              </w:rPr>
              <w:t>3、严格按照国家规定的监测分析方法标准和相应的技术规范进行采样及检测。</w:t>
            </w:r>
          </w:p>
          <w:p w14:paraId="1DBA02A2">
            <w:pPr>
              <w:adjustRightInd w:val="0"/>
              <w:snapToGrid w:val="0"/>
              <w:spacing w:line="360" w:lineRule="auto"/>
              <w:ind w:firstLine="480" w:firstLineChars="200"/>
              <w:rPr>
                <w:color w:val="auto"/>
                <w:sz w:val="24"/>
                <w:szCs w:val="24"/>
              </w:rPr>
            </w:pPr>
            <w:r>
              <w:rPr>
                <w:color w:val="auto"/>
                <w:sz w:val="24"/>
                <w:szCs w:val="24"/>
              </w:rPr>
              <w:t>4、为确保检测数据的准确、可靠，在样品的采集、运输、保存、实验室分析和数据计算 的全过程均按照相关技术规范的要求进行。</w:t>
            </w:r>
          </w:p>
          <w:p w14:paraId="407398B1">
            <w:pPr>
              <w:adjustRightInd w:val="0"/>
              <w:snapToGrid w:val="0"/>
              <w:spacing w:line="360" w:lineRule="auto"/>
              <w:ind w:firstLine="480" w:firstLineChars="200"/>
              <w:rPr>
                <w:color w:val="auto"/>
                <w:sz w:val="24"/>
                <w:szCs w:val="24"/>
              </w:rPr>
            </w:pPr>
            <w:r>
              <w:rPr>
                <w:rFonts w:hint="eastAsia"/>
                <w:color w:val="auto"/>
                <w:sz w:val="24"/>
                <w:szCs w:val="24"/>
              </w:rPr>
              <w:t>5、</w:t>
            </w:r>
            <w:r>
              <w:rPr>
                <w:color w:val="auto"/>
                <w:sz w:val="24"/>
                <w:szCs w:val="24"/>
              </w:rPr>
              <w:t>样品采取</w:t>
            </w:r>
            <w:r>
              <w:rPr>
                <w:rFonts w:hint="eastAsia"/>
                <w:color w:val="auto"/>
                <w:sz w:val="24"/>
                <w:szCs w:val="24"/>
              </w:rPr>
              <w:t>平行双样测定</w:t>
            </w:r>
            <w:r>
              <w:rPr>
                <w:color w:val="auto"/>
                <w:sz w:val="24"/>
                <w:szCs w:val="24"/>
              </w:rPr>
              <w:t>方式进行质量控制，</w:t>
            </w:r>
            <w:r>
              <w:rPr>
                <w:rFonts w:hint="eastAsia"/>
                <w:color w:val="auto"/>
                <w:sz w:val="24"/>
                <w:szCs w:val="24"/>
              </w:rPr>
              <w:t>其</w:t>
            </w:r>
            <w:r>
              <w:rPr>
                <w:color w:val="auto"/>
                <w:sz w:val="24"/>
                <w:szCs w:val="24"/>
              </w:rPr>
              <w:t>样品质控样分析结果在质控要求范围内。</w:t>
            </w:r>
          </w:p>
          <w:p w14:paraId="4A831B0B">
            <w:pPr>
              <w:adjustRightInd w:val="0"/>
              <w:snapToGrid w:val="0"/>
              <w:spacing w:line="360" w:lineRule="auto"/>
              <w:ind w:firstLine="480" w:firstLineChars="200"/>
              <w:rPr>
                <w:color w:val="auto"/>
                <w:sz w:val="24"/>
                <w:szCs w:val="24"/>
              </w:rPr>
            </w:pPr>
            <w:r>
              <w:rPr>
                <w:color w:val="auto"/>
                <w:sz w:val="24"/>
                <w:szCs w:val="24"/>
              </w:rPr>
              <w:t>6、监测人员经考核合格，持证上岗。</w:t>
            </w:r>
          </w:p>
        </w:tc>
      </w:tr>
    </w:tbl>
    <w:p w14:paraId="77F237BD">
      <w:pPr>
        <w:pStyle w:val="7"/>
        <w:rPr>
          <w:b w:val="0"/>
          <w:bCs/>
          <w:color w:val="auto"/>
          <w:szCs w:val="24"/>
        </w:rPr>
      </w:pPr>
      <w:bookmarkStart w:id="6" w:name="_Toc523906060"/>
      <w:r>
        <w:rPr>
          <w:color w:val="auto"/>
        </w:rPr>
        <w:t>表</w:t>
      </w:r>
      <w:r>
        <w:rPr>
          <w:rFonts w:hint="eastAsia"/>
          <w:color w:val="auto"/>
        </w:rPr>
        <w:t>六</w:t>
      </w:r>
      <w:r>
        <w:rPr>
          <w:color w:val="auto"/>
        </w:rPr>
        <w:t xml:space="preserve"> </w:t>
      </w:r>
      <w:r>
        <w:rPr>
          <w:rFonts w:hint="eastAsia" w:ascii="宋体" w:hAnsi="宋体"/>
          <w:color w:val="auto"/>
        </w:rPr>
        <w:t>验收监测内容</w:t>
      </w:r>
      <w:bookmarkEnd w:id="6"/>
    </w:p>
    <w:tbl>
      <w:tblPr>
        <w:tblStyle w:val="34"/>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3AA2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9" w:hRule="atLeast"/>
        </w:trPr>
        <w:tc>
          <w:tcPr>
            <w:tcW w:w="9287" w:type="dxa"/>
            <w:shd w:val="clear" w:color="auto" w:fill="auto"/>
          </w:tcPr>
          <w:p w14:paraId="39A60551">
            <w:pPr>
              <w:adjustRightInd w:val="0"/>
              <w:snapToGrid w:val="0"/>
              <w:spacing w:line="360" w:lineRule="auto"/>
              <w:ind w:firstLine="480" w:firstLineChars="200"/>
              <w:rPr>
                <w:color w:val="auto"/>
                <w:sz w:val="24"/>
                <w:szCs w:val="24"/>
              </w:rPr>
            </w:pPr>
            <w:r>
              <w:rPr>
                <w:color w:val="auto"/>
                <w:sz w:val="24"/>
                <w:szCs w:val="24"/>
              </w:rPr>
              <w:t>采用资料收集、实地踏勘论证的方法，以建设项目环境影响</w:t>
            </w:r>
            <w:r>
              <w:rPr>
                <w:rFonts w:hint="eastAsia"/>
                <w:color w:val="auto"/>
                <w:sz w:val="24"/>
                <w:szCs w:val="24"/>
              </w:rPr>
              <w:t>报告表</w:t>
            </w:r>
            <w:r>
              <w:rPr>
                <w:color w:val="auto"/>
                <w:sz w:val="24"/>
                <w:szCs w:val="24"/>
              </w:rPr>
              <w:t>、批复为依据，对项目污染源及其环保设施进行监测、检查和验收。</w:t>
            </w:r>
          </w:p>
          <w:p w14:paraId="42CD9C90">
            <w:pPr>
              <w:pStyle w:val="93"/>
              <w:ind w:firstLine="482"/>
              <w:rPr>
                <w:color w:val="auto"/>
              </w:rPr>
            </w:pPr>
            <w:r>
              <w:rPr>
                <w:b/>
                <w:color w:val="auto"/>
                <w:szCs w:val="24"/>
              </w:rPr>
              <w:t>验收监测方案</w:t>
            </w:r>
          </w:p>
          <w:p w14:paraId="56DC885E">
            <w:pPr>
              <w:adjustRightInd w:val="0"/>
              <w:snapToGrid w:val="0"/>
              <w:spacing w:line="360" w:lineRule="auto"/>
              <w:ind w:firstLine="480" w:firstLineChars="200"/>
              <w:rPr>
                <w:color w:val="auto"/>
                <w:sz w:val="24"/>
                <w:szCs w:val="24"/>
              </w:rPr>
            </w:pPr>
            <w:r>
              <w:rPr>
                <w:rFonts w:hint="eastAsia"/>
                <w:color w:val="auto"/>
                <w:sz w:val="24"/>
                <w:szCs w:val="24"/>
              </w:rPr>
              <w:t>1、有组织排放废气监测</w:t>
            </w:r>
          </w:p>
          <w:p w14:paraId="095DAD3F">
            <w:pPr>
              <w:adjustRightInd w:val="0"/>
              <w:snapToGrid w:val="0"/>
              <w:spacing w:line="360" w:lineRule="auto"/>
              <w:ind w:firstLine="480" w:firstLineChars="200"/>
              <w:rPr>
                <w:rFonts w:hint="eastAsia" w:eastAsia="宋体"/>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rPr>
              <w:t>排气筒DA00</w:t>
            </w:r>
            <w:r>
              <w:rPr>
                <w:rFonts w:hint="eastAsia"/>
                <w:color w:val="auto"/>
                <w:sz w:val="24"/>
                <w:szCs w:val="24"/>
                <w:lang w:val="en-US" w:eastAsia="zh-CN"/>
              </w:rPr>
              <w:t>1</w:t>
            </w:r>
          </w:p>
          <w:p w14:paraId="51955199">
            <w:pPr>
              <w:adjustRightInd w:val="0"/>
              <w:snapToGrid w:val="0"/>
              <w:spacing w:line="360" w:lineRule="auto"/>
              <w:ind w:firstLine="480" w:firstLineChars="200"/>
              <w:rPr>
                <w:color w:val="auto"/>
                <w:sz w:val="24"/>
                <w:szCs w:val="24"/>
              </w:rPr>
            </w:pPr>
            <w:r>
              <w:rPr>
                <w:rFonts w:hint="eastAsia"/>
                <w:color w:val="auto"/>
                <w:sz w:val="24"/>
                <w:szCs w:val="24"/>
              </w:rPr>
              <w:t>监测点位：排气筒DA00</w:t>
            </w:r>
            <w:r>
              <w:rPr>
                <w:rFonts w:hint="eastAsia"/>
                <w:color w:val="auto"/>
                <w:sz w:val="24"/>
                <w:szCs w:val="24"/>
                <w:lang w:val="en-US" w:eastAsia="zh-CN"/>
              </w:rPr>
              <w:t>1出口</w:t>
            </w:r>
            <w:r>
              <w:rPr>
                <w:rFonts w:hint="eastAsia"/>
                <w:color w:val="auto"/>
                <w:sz w:val="24"/>
                <w:szCs w:val="24"/>
              </w:rPr>
              <w:t>；</w:t>
            </w:r>
          </w:p>
          <w:p w14:paraId="55A29E41">
            <w:pPr>
              <w:adjustRightInd w:val="0"/>
              <w:snapToGrid w:val="0"/>
              <w:spacing w:line="360" w:lineRule="auto"/>
              <w:ind w:firstLine="480" w:firstLineChars="200"/>
              <w:rPr>
                <w:rFonts w:hint="eastAsia"/>
                <w:color w:val="auto"/>
                <w:sz w:val="24"/>
                <w:szCs w:val="24"/>
              </w:rPr>
            </w:pPr>
            <w:r>
              <w:rPr>
                <w:color w:val="auto"/>
                <w:sz w:val="24"/>
                <w:szCs w:val="24"/>
              </w:rPr>
              <w:t>监测项目：</w:t>
            </w:r>
            <w:r>
              <w:rPr>
                <w:rFonts w:hint="eastAsia"/>
                <w:color w:val="auto"/>
                <w:sz w:val="24"/>
                <w:szCs w:val="24"/>
                <w:lang w:eastAsia="zh-CN"/>
              </w:rPr>
              <w:t>颗粒物</w:t>
            </w:r>
          </w:p>
          <w:p w14:paraId="72FD8DB6">
            <w:pPr>
              <w:adjustRightInd w:val="0"/>
              <w:snapToGrid w:val="0"/>
              <w:spacing w:line="360" w:lineRule="auto"/>
              <w:ind w:firstLine="480" w:firstLineChars="200"/>
              <w:rPr>
                <w:rFonts w:hint="eastAsia"/>
                <w:color w:val="auto"/>
                <w:sz w:val="24"/>
                <w:szCs w:val="24"/>
              </w:rPr>
            </w:pPr>
            <w:r>
              <w:rPr>
                <w:color w:val="auto"/>
                <w:sz w:val="24"/>
                <w:szCs w:val="24"/>
              </w:rPr>
              <w:t>监测频次：</w:t>
            </w:r>
            <w:r>
              <w:rPr>
                <w:rFonts w:hint="eastAsia"/>
                <w:color w:val="auto"/>
                <w:sz w:val="24"/>
                <w:szCs w:val="24"/>
              </w:rPr>
              <w:t>3次/天，监测2天。</w:t>
            </w:r>
          </w:p>
          <w:p w14:paraId="65475BDD">
            <w:pPr>
              <w:adjustRightInd w:val="0"/>
              <w:snapToGrid w:val="0"/>
              <w:spacing w:line="360" w:lineRule="auto"/>
              <w:ind w:firstLine="480" w:firstLineChars="200"/>
              <w:rPr>
                <w:rFonts w:hint="eastAsia" w:eastAsia="宋体"/>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eastAsia"/>
                <w:color w:val="auto"/>
                <w:sz w:val="24"/>
                <w:szCs w:val="24"/>
              </w:rPr>
              <w:t>排气筒DA00</w:t>
            </w:r>
            <w:r>
              <w:rPr>
                <w:rFonts w:hint="eastAsia"/>
                <w:color w:val="auto"/>
                <w:sz w:val="24"/>
                <w:szCs w:val="24"/>
                <w:lang w:val="en-US" w:eastAsia="zh-CN"/>
              </w:rPr>
              <w:t>2</w:t>
            </w:r>
          </w:p>
          <w:p w14:paraId="0FD17612">
            <w:pPr>
              <w:adjustRightInd w:val="0"/>
              <w:snapToGrid w:val="0"/>
              <w:spacing w:line="360" w:lineRule="auto"/>
              <w:ind w:firstLine="480" w:firstLineChars="200"/>
              <w:rPr>
                <w:color w:val="auto"/>
                <w:sz w:val="24"/>
                <w:szCs w:val="24"/>
              </w:rPr>
            </w:pPr>
            <w:r>
              <w:rPr>
                <w:rFonts w:hint="eastAsia"/>
                <w:color w:val="auto"/>
                <w:sz w:val="24"/>
                <w:szCs w:val="24"/>
              </w:rPr>
              <w:t>监测点位：排气筒DA00</w:t>
            </w:r>
            <w:r>
              <w:rPr>
                <w:rFonts w:hint="eastAsia"/>
                <w:color w:val="auto"/>
                <w:sz w:val="24"/>
                <w:szCs w:val="24"/>
                <w:lang w:val="en-US" w:eastAsia="zh-CN"/>
              </w:rPr>
              <w:t>2出口</w:t>
            </w:r>
            <w:r>
              <w:rPr>
                <w:rFonts w:hint="eastAsia"/>
                <w:color w:val="auto"/>
                <w:sz w:val="24"/>
                <w:szCs w:val="24"/>
              </w:rPr>
              <w:t>；</w:t>
            </w:r>
          </w:p>
          <w:p w14:paraId="45A4DAA8">
            <w:pPr>
              <w:adjustRightInd w:val="0"/>
              <w:snapToGrid w:val="0"/>
              <w:spacing w:line="360" w:lineRule="auto"/>
              <w:ind w:firstLine="480" w:firstLineChars="200"/>
              <w:rPr>
                <w:rFonts w:hint="eastAsia"/>
                <w:color w:val="auto"/>
                <w:sz w:val="24"/>
                <w:szCs w:val="24"/>
              </w:rPr>
            </w:pPr>
            <w:r>
              <w:rPr>
                <w:color w:val="auto"/>
                <w:sz w:val="24"/>
                <w:szCs w:val="24"/>
              </w:rPr>
              <w:t>监测项目：</w:t>
            </w:r>
            <w:r>
              <w:rPr>
                <w:rFonts w:hint="eastAsia"/>
                <w:color w:val="auto"/>
                <w:sz w:val="24"/>
                <w:szCs w:val="24"/>
                <w:lang w:eastAsia="zh-CN"/>
              </w:rPr>
              <w:t>颗粒物</w:t>
            </w:r>
          </w:p>
          <w:p w14:paraId="1746AFCF">
            <w:pPr>
              <w:adjustRightInd w:val="0"/>
              <w:snapToGrid w:val="0"/>
              <w:spacing w:line="360" w:lineRule="auto"/>
              <w:ind w:firstLine="480" w:firstLineChars="200"/>
              <w:rPr>
                <w:rFonts w:hint="eastAsia" w:eastAsia="宋体"/>
                <w:color w:val="auto"/>
                <w:sz w:val="24"/>
                <w:szCs w:val="24"/>
                <w:lang w:eastAsia="zh-CN"/>
              </w:rPr>
            </w:pPr>
            <w:r>
              <w:rPr>
                <w:color w:val="auto"/>
                <w:sz w:val="24"/>
                <w:szCs w:val="24"/>
              </w:rPr>
              <w:t>监测频次：</w:t>
            </w:r>
            <w:r>
              <w:rPr>
                <w:rFonts w:hint="eastAsia"/>
                <w:color w:val="auto"/>
                <w:sz w:val="24"/>
                <w:szCs w:val="24"/>
              </w:rPr>
              <w:t>3次/天，监测2天</w:t>
            </w:r>
            <w:r>
              <w:rPr>
                <w:rFonts w:hint="eastAsia"/>
                <w:color w:val="auto"/>
                <w:sz w:val="24"/>
                <w:szCs w:val="24"/>
                <w:lang w:eastAsia="zh-CN"/>
              </w:rPr>
              <w:t>。</w:t>
            </w:r>
          </w:p>
          <w:p w14:paraId="5A0D3FE5">
            <w:pPr>
              <w:adjustRightInd w:val="0"/>
              <w:snapToGrid w:val="0"/>
              <w:spacing w:line="360" w:lineRule="auto"/>
              <w:ind w:firstLine="480" w:firstLineChars="200"/>
              <w:rPr>
                <w:rFonts w:hint="eastAsia" w:eastAsia="宋体"/>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rFonts w:hint="eastAsia"/>
                <w:color w:val="auto"/>
                <w:sz w:val="24"/>
                <w:szCs w:val="24"/>
              </w:rPr>
              <w:t>排气筒DA00</w:t>
            </w:r>
            <w:r>
              <w:rPr>
                <w:rFonts w:hint="eastAsia"/>
                <w:color w:val="auto"/>
                <w:sz w:val="24"/>
                <w:szCs w:val="24"/>
                <w:lang w:val="en-US" w:eastAsia="zh-CN"/>
              </w:rPr>
              <w:t>3</w:t>
            </w:r>
          </w:p>
          <w:p w14:paraId="6A27B6D0">
            <w:pPr>
              <w:adjustRightInd w:val="0"/>
              <w:snapToGrid w:val="0"/>
              <w:spacing w:line="360" w:lineRule="auto"/>
              <w:ind w:firstLine="480" w:firstLineChars="200"/>
              <w:rPr>
                <w:color w:val="auto"/>
                <w:sz w:val="24"/>
                <w:szCs w:val="24"/>
              </w:rPr>
            </w:pPr>
            <w:r>
              <w:rPr>
                <w:rFonts w:hint="eastAsia"/>
                <w:color w:val="auto"/>
                <w:sz w:val="24"/>
                <w:szCs w:val="24"/>
              </w:rPr>
              <w:t>监测点位：排气筒DA00</w:t>
            </w:r>
            <w:r>
              <w:rPr>
                <w:rFonts w:hint="eastAsia"/>
                <w:color w:val="auto"/>
                <w:sz w:val="24"/>
                <w:szCs w:val="24"/>
                <w:lang w:val="en-US" w:eastAsia="zh-CN"/>
              </w:rPr>
              <w:t>3出口</w:t>
            </w:r>
            <w:r>
              <w:rPr>
                <w:rFonts w:hint="eastAsia"/>
                <w:color w:val="auto"/>
                <w:sz w:val="24"/>
                <w:szCs w:val="24"/>
              </w:rPr>
              <w:t>；</w:t>
            </w:r>
          </w:p>
          <w:p w14:paraId="00822CCA">
            <w:pPr>
              <w:adjustRightInd w:val="0"/>
              <w:snapToGrid w:val="0"/>
              <w:spacing w:line="360" w:lineRule="auto"/>
              <w:ind w:firstLine="480" w:firstLineChars="200"/>
              <w:rPr>
                <w:rFonts w:hint="eastAsia"/>
                <w:color w:val="auto"/>
                <w:sz w:val="24"/>
                <w:szCs w:val="24"/>
              </w:rPr>
            </w:pPr>
            <w:r>
              <w:rPr>
                <w:color w:val="auto"/>
                <w:sz w:val="24"/>
                <w:szCs w:val="24"/>
              </w:rPr>
              <w:t>监测项目：</w:t>
            </w:r>
            <w:r>
              <w:rPr>
                <w:rFonts w:hint="eastAsia"/>
                <w:color w:val="auto"/>
                <w:sz w:val="24"/>
                <w:szCs w:val="24"/>
                <w:lang w:eastAsia="zh-CN"/>
              </w:rPr>
              <w:t>颗粒物、非甲烷总烃</w:t>
            </w:r>
          </w:p>
          <w:p w14:paraId="72836116">
            <w:pPr>
              <w:adjustRightInd w:val="0"/>
              <w:snapToGrid w:val="0"/>
              <w:spacing w:line="360" w:lineRule="auto"/>
              <w:ind w:firstLine="480" w:firstLineChars="200"/>
              <w:rPr>
                <w:rFonts w:hint="eastAsia" w:eastAsia="宋体"/>
                <w:color w:val="auto"/>
                <w:sz w:val="24"/>
                <w:szCs w:val="24"/>
                <w:lang w:eastAsia="zh-CN"/>
              </w:rPr>
            </w:pPr>
            <w:r>
              <w:rPr>
                <w:color w:val="auto"/>
                <w:sz w:val="24"/>
                <w:szCs w:val="24"/>
              </w:rPr>
              <w:t>监测频次：</w:t>
            </w:r>
            <w:r>
              <w:rPr>
                <w:rFonts w:hint="eastAsia"/>
                <w:color w:val="auto"/>
                <w:sz w:val="24"/>
                <w:szCs w:val="24"/>
              </w:rPr>
              <w:t>3次/天，监测2天</w:t>
            </w:r>
            <w:r>
              <w:rPr>
                <w:rFonts w:hint="eastAsia"/>
                <w:color w:val="auto"/>
                <w:sz w:val="24"/>
                <w:szCs w:val="24"/>
                <w:lang w:eastAsia="zh-CN"/>
              </w:rPr>
              <w:t>。</w:t>
            </w:r>
          </w:p>
          <w:p w14:paraId="6F826D30">
            <w:pPr>
              <w:adjustRightInd w:val="0"/>
              <w:snapToGrid w:val="0"/>
              <w:spacing w:line="360" w:lineRule="auto"/>
              <w:ind w:firstLine="480" w:firstLineChars="200"/>
              <w:rPr>
                <w:color w:val="auto"/>
                <w:sz w:val="24"/>
                <w:szCs w:val="24"/>
              </w:rPr>
            </w:pPr>
            <w:r>
              <w:rPr>
                <w:rFonts w:hint="eastAsia"/>
                <w:color w:val="auto"/>
                <w:sz w:val="24"/>
                <w:szCs w:val="24"/>
              </w:rPr>
              <w:t>2、无组织排放废气监测</w:t>
            </w:r>
          </w:p>
          <w:p w14:paraId="019601E9">
            <w:pPr>
              <w:adjustRightInd w:val="0"/>
              <w:snapToGrid w:val="0"/>
              <w:spacing w:line="360" w:lineRule="auto"/>
              <w:ind w:firstLine="480" w:firstLineChars="200"/>
              <w:rPr>
                <w:rFonts w:hint="eastAsia" w:eastAsia="宋体"/>
                <w:color w:val="auto"/>
                <w:sz w:val="24"/>
                <w:szCs w:val="24"/>
                <w:lang w:val="en-US" w:eastAsia="zh-CN"/>
              </w:rPr>
            </w:pPr>
            <w:r>
              <w:rPr>
                <w:color w:val="auto"/>
                <w:sz w:val="24"/>
                <w:szCs w:val="24"/>
              </w:rPr>
              <w:t>监测点位：</w:t>
            </w:r>
            <w:r>
              <w:rPr>
                <w:rFonts w:hint="eastAsia"/>
                <w:color w:val="auto"/>
                <w:sz w:val="24"/>
                <w:szCs w:val="24"/>
                <w:lang w:val="en-US" w:eastAsia="zh-CN"/>
              </w:rPr>
              <w:t>厂界上风向检测点 A001</w:t>
            </w:r>
            <w:r>
              <w:rPr>
                <w:color w:val="auto"/>
                <w:sz w:val="24"/>
                <w:szCs w:val="24"/>
              </w:rPr>
              <w:t>、厂界下风向（</w:t>
            </w:r>
            <w:r>
              <w:rPr>
                <w:rFonts w:hint="eastAsia"/>
                <w:color w:val="auto"/>
                <w:sz w:val="24"/>
                <w:szCs w:val="24"/>
                <w:lang w:val="en-US" w:eastAsia="zh-CN"/>
              </w:rPr>
              <w:t>A002</w:t>
            </w:r>
            <w:r>
              <w:rPr>
                <w:color w:val="auto"/>
                <w:sz w:val="24"/>
                <w:szCs w:val="24"/>
              </w:rPr>
              <w:t>、</w:t>
            </w:r>
            <w:r>
              <w:rPr>
                <w:rFonts w:hint="eastAsia"/>
                <w:color w:val="auto"/>
                <w:sz w:val="24"/>
                <w:szCs w:val="24"/>
                <w:lang w:val="en-US" w:eastAsia="zh-CN"/>
              </w:rPr>
              <w:t>A003</w:t>
            </w:r>
            <w:r>
              <w:rPr>
                <w:color w:val="auto"/>
                <w:sz w:val="24"/>
                <w:szCs w:val="24"/>
              </w:rPr>
              <w:t>、</w:t>
            </w:r>
            <w:r>
              <w:rPr>
                <w:rFonts w:hint="eastAsia"/>
                <w:color w:val="auto"/>
                <w:sz w:val="24"/>
                <w:szCs w:val="24"/>
                <w:lang w:val="en-US" w:eastAsia="zh-CN"/>
              </w:rPr>
              <w:t>A004</w:t>
            </w:r>
            <w:r>
              <w:rPr>
                <w:color w:val="auto"/>
                <w:sz w:val="24"/>
                <w:szCs w:val="24"/>
              </w:rPr>
              <w:t>）</w:t>
            </w:r>
          </w:p>
          <w:p w14:paraId="24BA3FEA">
            <w:pPr>
              <w:adjustRightInd w:val="0"/>
              <w:snapToGrid w:val="0"/>
              <w:spacing w:line="360" w:lineRule="auto"/>
              <w:ind w:firstLine="480" w:firstLineChars="200"/>
              <w:rPr>
                <w:rFonts w:hint="eastAsia"/>
                <w:color w:val="auto"/>
                <w:sz w:val="24"/>
                <w:szCs w:val="24"/>
              </w:rPr>
            </w:pPr>
            <w:r>
              <w:rPr>
                <w:color w:val="auto"/>
                <w:sz w:val="24"/>
                <w:szCs w:val="24"/>
              </w:rPr>
              <w:t>监测项目：</w:t>
            </w:r>
            <w:r>
              <w:rPr>
                <w:rFonts w:hint="eastAsia"/>
                <w:color w:val="auto"/>
                <w:sz w:val="24"/>
                <w:szCs w:val="24"/>
                <w:lang w:eastAsia="zh-CN"/>
              </w:rPr>
              <w:t>颗粒物、非甲烷总烃</w:t>
            </w:r>
          </w:p>
          <w:p w14:paraId="447949A7">
            <w:pPr>
              <w:adjustRightInd w:val="0"/>
              <w:snapToGrid w:val="0"/>
              <w:spacing w:line="360" w:lineRule="auto"/>
              <w:ind w:firstLine="480" w:firstLineChars="200"/>
              <w:rPr>
                <w:rFonts w:hint="eastAsia"/>
                <w:color w:val="auto"/>
                <w:sz w:val="24"/>
                <w:szCs w:val="24"/>
              </w:rPr>
            </w:pPr>
            <w:r>
              <w:rPr>
                <w:color w:val="auto"/>
                <w:sz w:val="24"/>
                <w:szCs w:val="24"/>
              </w:rPr>
              <w:t>监测频次：</w:t>
            </w:r>
            <w:r>
              <w:rPr>
                <w:rFonts w:hint="eastAsia"/>
                <w:color w:val="auto"/>
                <w:sz w:val="24"/>
                <w:szCs w:val="24"/>
                <w:lang w:val="en-US" w:eastAsia="zh-CN"/>
              </w:rPr>
              <w:t>3</w:t>
            </w:r>
            <w:r>
              <w:rPr>
                <w:color w:val="auto"/>
                <w:sz w:val="24"/>
                <w:szCs w:val="24"/>
              </w:rPr>
              <w:t>次/天</w:t>
            </w:r>
            <w:r>
              <w:rPr>
                <w:rFonts w:hint="eastAsia"/>
                <w:color w:val="auto"/>
                <w:sz w:val="24"/>
                <w:szCs w:val="24"/>
              </w:rPr>
              <w:t>，</w:t>
            </w:r>
            <w:r>
              <w:rPr>
                <w:color w:val="auto"/>
                <w:sz w:val="24"/>
                <w:szCs w:val="24"/>
              </w:rPr>
              <w:t>监测</w:t>
            </w:r>
            <w:r>
              <w:rPr>
                <w:rFonts w:hint="eastAsia"/>
                <w:color w:val="auto"/>
                <w:sz w:val="24"/>
                <w:szCs w:val="24"/>
              </w:rPr>
              <w:t>2</w:t>
            </w:r>
            <w:r>
              <w:rPr>
                <w:color w:val="auto"/>
                <w:sz w:val="24"/>
                <w:szCs w:val="24"/>
              </w:rPr>
              <w:t>天</w:t>
            </w:r>
            <w:r>
              <w:rPr>
                <w:rFonts w:hint="eastAsia"/>
                <w:color w:val="auto"/>
                <w:sz w:val="24"/>
                <w:szCs w:val="24"/>
              </w:rPr>
              <w:t>。</w:t>
            </w:r>
          </w:p>
          <w:p w14:paraId="0AFE7788">
            <w:pPr>
              <w:adjustRightInd w:val="0"/>
              <w:snapToGrid w:val="0"/>
              <w:spacing w:line="360" w:lineRule="auto"/>
              <w:ind w:firstLine="480" w:firstLineChars="200"/>
              <w:rPr>
                <w:rFonts w:hint="default" w:eastAsia="宋体"/>
                <w:color w:val="auto"/>
                <w:sz w:val="24"/>
                <w:szCs w:val="24"/>
                <w:lang w:val="en-US" w:eastAsia="zh-CN"/>
              </w:rPr>
            </w:pPr>
            <w:r>
              <w:rPr>
                <w:color w:val="auto"/>
                <w:sz w:val="24"/>
                <w:szCs w:val="24"/>
              </w:rPr>
              <w:t>监测点位：</w:t>
            </w:r>
            <w:r>
              <w:rPr>
                <w:rFonts w:hint="eastAsia"/>
                <w:color w:val="auto"/>
                <w:sz w:val="24"/>
                <w:szCs w:val="24"/>
                <w:lang w:val="en-US" w:eastAsia="zh-CN"/>
              </w:rPr>
              <w:t>厂区内A005</w:t>
            </w:r>
          </w:p>
          <w:p w14:paraId="6D5603EF">
            <w:pPr>
              <w:adjustRightInd w:val="0"/>
              <w:snapToGrid w:val="0"/>
              <w:spacing w:line="360" w:lineRule="auto"/>
              <w:ind w:firstLine="480" w:firstLineChars="200"/>
              <w:rPr>
                <w:rFonts w:hint="eastAsia"/>
                <w:color w:val="auto"/>
                <w:sz w:val="24"/>
                <w:szCs w:val="24"/>
              </w:rPr>
            </w:pPr>
            <w:r>
              <w:rPr>
                <w:color w:val="auto"/>
                <w:sz w:val="24"/>
                <w:szCs w:val="24"/>
              </w:rPr>
              <w:t>监测项目：</w:t>
            </w:r>
            <w:r>
              <w:rPr>
                <w:rFonts w:hint="eastAsia"/>
                <w:color w:val="auto"/>
                <w:sz w:val="24"/>
                <w:szCs w:val="24"/>
                <w:lang w:eastAsia="zh-CN"/>
              </w:rPr>
              <w:t>非甲烷总烃</w:t>
            </w:r>
          </w:p>
          <w:p w14:paraId="37FBB69B">
            <w:pPr>
              <w:adjustRightInd w:val="0"/>
              <w:snapToGrid w:val="0"/>
              <w:spacing w:line="360" w:lineRule="auto"/>
              <w:ind w:firstLine="480" w:firstLineChars="200"/>
              <w:rPr>
                <w:rFonts w:hint="eastAsia"/>
                <w:color w:val="auto"/>
                <w:sz w:val="24"/>
                <w:szCs w:val="24"/>
              </w:rPr>
            </w:pPr>
            <w:r>
              <w:rPr>
                <w:color w:val="auto"/>
                <w:sz w:val="24"/>
                <w:szCs w:val="24"/>
              </w:rPr>
              <w:t>监测频次：</w:t>
            </w:r>
            <w:r>
              <w:rPr>
                <w:rFonts w:hint="eastAsia"/>
                <w:color w:val="auto"/>
                <w:sz w:val="24"/>
                <w:szCs w:val="24"/>
                <w:lang w:val="en-US" w:eastAsia="zh-CN"/>
              </w:rPr>
              <w:t>3</w:t>
            </w:r>
            <w:r>
              <w:rPr>
                <w:color w:val="auto"/>
                <w:sz w:val="24"/>
                <w:szCs w:val="24"/>
              </w:rPr>
              <w:t>次/天</w:t>
            </w:r>
            <w:r>
              <w:rPr>
                <w:rFonts w:hint="eastAsia"/>
                <w:color w:val="auto"/>
                <w:sz w:val="24"/>
                <w:szCs w:val="24"/>
              </w:rPr>
              <w:t>，</w:t>
            </w:r>
            <w:r>
              <w:rPr>
                <w:color w:val="auto"/>
                <w:sz w:val="24"/>
                <w:szCs w:val="24"/>
              </w:rPr>
              <w:t>监测</w:t>
            </w:r>
            <w:r>
              <w:rPr>
                <w:rFonts w:hint="eastAsia"/>
                <w:color w:val="auto"/>
                <w:sz w:val="24"/>
                <w:szCs w:val="24"/>
              </w:rPr>
              <w:t>2</w:t>
            </w:r>
            <w:r>
              <w:rPr>
                <w:color w:val="auto"/>
                <w:sz w:val="24"/>
                <w:szCs w:val="24"/>
              </w:rPr>
              <w:t>天</w:t>
            </w:r>
            <w:r>
              <w:rPr>
                <w:rFonts w:hint="eastAsia"/>
                <w:color w:val="auto"/>
                <w:sz w:val="24"/>
                <w:szCs w:val="24"/>
              </w:rPr>
              <w:t>。</w:t>
            </w:r>
          </w:p>
          <w:p w14:paraId="5D2E1A4A">
            <w:pPr>
              <w:adjustRightInd w:val="0"/>
              <w:snapToGrid w:val="0"/>
              <w:spacing w:line="360" w:lineRule="auto"/>
              <w:ind w:firstLine="480" w:firstLineChars="200"/>
              <w:rPr>
                <w:color w:val="auto"/>
                <w:sz w:val="24"/>
                <w:szCs w:val="24"/>
              </w:rPr>
            </w:pPr>
            <w:r>
              <w:rPr>
                <w:rFonts w:hint="eastAsia"/>
                <w:color w:val="auto"/>
                <w:sz w:val="24"/>
                <w:szCs w:val="24"/>
              </w:rPr>
              <w:t>3、废水监测</w:t>
            </w:r>
          </w:p>
          <w:p w14:paraId="1E787B53">
            <w:pPr>
              <w:adjustRightInd w:val="0"/>
              <w:snapToGrid w:val="0"/>
              <w:spacing w:line="360" w:lineRule="auto"/>
              <w:ind w:firstLine="480" w:firstLineChars="200"/>
              <w:rPr>
                <w:color w:val="auto"/>
                <w:sz w:val="24"/>
                <w:szCs w:val="24"/>
              </w:rPr>
            </w:pPr>
            <w:r>
              <w:rPr>
                <w:color w:val="auto"/>
                <w:sz w:val="24"/>
                <w:szCs w:val="24"/>
              </w:rPr>
              <w:t>监测点位：</w:t>
            </w:r>
            <w:r>
              <w:rPr>
                <w:rFonts w:hint="eastAsia"/>
                <w:color w:val="auto"/>
                <w:sz w:val="24"/>
                <w:szCs w:val="24"/>
              </w:rPr>
              <w:t>废水总排口（DW001）</w:t>
            </w:r>
            <w:r>
              <w:rPr>
                <w:color w:val="auto"/>
                <w:sz w:val="24"/>
                <w:szCs w:val="24"/>
              </w:rPr>
              <w:t>；</w:t>
            </w:r>
          </w:p>
          <w:p w14:paraId="0A486280">
            <w:pPr>
              <w:adjustRightInd w:val="0"/>
              <w:snapToGrid w:val="0"/>
              <w:spacing w:line="360" w:lineRule="auto"/>
              <w:ind w:firstLine="480" w:firstLineChars="200"/>
              <w:rPr>
                <w:rFonts w:hint="eastAsia" w:eastAsia="宋体"/>
                <w:color w:val="auto"/>
                <w:sz w:val="24"/>
                <w:szCs w:val="24"/>
                <w:lang w:eastAsia="zh-CN"/>
              </w:rPr>
            </w:pPr>
            <w:r>
              <w:rPr>
                <w:color w:val="auto"/>
                <w:sz w:val="24"/>
                <w:szCs w:val="24"/>
              </w:rPr>
              <w:t>监测项目：pH</w:t>
            </w:r>
            <w:r>
              <w:rPr>
                <w:rFonts w:hint="eastAsia"/>
                <w:color w:val="auto"/>
                <w:sz w:val="24"/>
                <w:szCs w:val="24"/>
              </w:rPr>
              <w:t>值、化学需氧量、五日生化需氧量、悬浮物、氨氮</w:t>
            </w:r>
            <w:r>
              <w:rPr>
                <w:rFonts w:hint="eastAsia"/>
                <w:color w:val="auto"/>
                <w:sz w:val="24"/>
                <w:szCs w:val="24"/>
                <w:lang w:eastAsia="zh-CN"/>
              </w:rPr>
              <w:t>、总磷、动植物油</w:t>
            </w:r>
          </w:p>
          <w:p w14:paraId="24D90D80">
            <w:pPr>
              <w:adjustRightInd w:val="0"/>
              <w:snapToGrid w:val="0"/>
              <w:spacing w:line="360" w:lineRule="auto"/>
              <w:ind w:firstLine="480" w:firstLineChars="200"/>
              <w:rPr>
                <w:color w:val="auto"/>
                <w:sz w:val="24"/>
                <w:szCs w:val="24"/>
              </w:rPr>
            </w:pPr>
            <w:r>
              <w:rPr>
                <w:color w:val="auto"/>
                <w:sz w:val="24"/>
                <w:szCs w:val="24"/>
              </w:rPr>
              <w:t>监测频次：</w:t>
            </w:r>
            <w:r>
              <w:rPr>
                <w:rFonts w:hint="eastAsia"/>
                <w:color w:val="auto"/>
                <w:sz w:val="24"/>
                <w:szCs w:val="24"/>
                <w:lang w:val="en-US" w:eastAsia="zh-CN"/>
              </w:rPr>
              <w:t>4</w:t>
            </w:r>
            <w:r>
              <w:rPr>
                <w:color w:val="auto"/>
                <w:sz w:val="24"/>
                <w:szCs w:val="24"/>
              </w:rPr>
              <w:t>次/天</w:t>
            </w:r>
            <w:r>
              <w:rPr>
                <w:rFonts w:hint="eastAsia"/>
                <w:color w:val="auto"/>
                <w:sz w:val="24"/>
                <w:szCs w:val="24"/>
              </w:rPr>
              <w:t>，</w:t>
            </w:r>
            <w:r>
              <w:rPr>
                <w:color w:val="auto"/>
                <w:sz w:val="24"/>
                <w:szCs w:val="24"/>
              </w:rPr>
              <w:t>监测</w:t>
            </w:r>
            <w:r>
              <w:rPr>
                <w:rFonts w:hint="eastAsia"/>
                <w:color w:val="auto"/>
                <w:sz w:val="24"/>
                <w:szCs w:val="24"/>
              </w:rPr>
              <w:t>2</w:t>
            </w:r>
            <w:r>
              <w:rPr>
                <w:color w:val="auto"/>
                <w:sz w:val="24"/>
                <w:szCs w:val="24"/>
              </w:rPr>
              <w:t>天</w:t>
            </w:r>
            <w:r>
              <w:rPr>
                <w:rFonts w:hint="eastAsia"/>
                <w:color w:val="auto"/>
                <w:sz w:val="24"/>
                <w:szCs w:val="24"/>
              </w:rPr>
              <w:t>。</w:t>
            </w:r>
          </w:p>
          <w:p w14:paraId="048B567A">
            <w:pPr>
              <w:adjustRightInd w:val="0"/>
              <w:snapToGrid w:val="0"/>
              <w:spacing w:line="360" w:lineRule="auto"/>
              <w:ind w:firstLine="480" w:firstLineChars="200"/>
              <w:rPr>
                <w:color w:val="auto"/>
                <w:sz w:val="24"/>
                <w:szCs w:val="24"/>
              </w:rPr>
            </w:pPr>
            <w:r>
              <w:rPr>
                <w:rFonts w:hint="eastAsia"/>
                <w:color w:val="auto"/>
                <w:sz w:val="24"/>
                <w:szCs w:val="24"/>
              </w:rPr>
              <w:t>4、噪声监测</w:t>
            </w:r>
          </w:p>
          <w:p w14:paraId="50D9EDB2">
            <w:pPr>
              <w:adjustRightInd w:val="0"/>
              <w:snapToGrid w:val="0"/>
              <w:spacing w:line="360" w:lineRule="auto"/>
              <w:ind w:firstLine="480" w:firstLineChars="200"/>
              <w:rPr>
                <w:rFonts w:hint="default" w:eastAsia="宋体"/>
                <w:color w:val="auto"/>
                <w:sz w:val="24"/>
                <w:szCs w:val="24"/>
                <w:lang w:val="en-US" w:eastAsia="zh-CN"/>
              </w:rPr>
            </w:pPr>
            <w:r>
              <w:rPr>
                <w:color w:val="auto"/>
                <w:sz w:val="24"/>
                <w:szCs w:val="24"/>
              </w:rPr>
              <w:t>监测点位：</w:t>
            </w:r>
            <w:r>
              <w:rPr>
                <w:rFonts w:hint="eastAsia"/>
                <w:color w:val="auto"/>
                <w:sz w:val="24"/>
                <w:szCs w:val="24"/>
              </w:rPr>
              <w:t>沿厂界四周共</w:t>
            </w:r>
            <w:r>
              <w:rPr>
                <w:color w:val="auto"/>
                <w:sz w:val="24"/>
                <w:szCs w:val="24"/>
              </w:rPr>
              <w:t>布设4个监测点位（N1～N4）</w:t>
            </w:r>
            <w:r>
              <w:rPr>
                <w:rFonts w:hint="eastAsia"/>
                <w:color w:val="auto"/>
                <w:sz w:val="24"/>
                <w:szCs w:val="24"/>
                <w:lang w:val="en-US" w:eastAsia="zh-CN"/>
              </w:rPr>
              <w:t>；</w:t>
            </w:r>
          </w:p>
          <w:p w14:paraId="62D3DDE8">
            <w:pPr>
              <w:adjustRightInd w:val="0"/>
              <w:snapToGrid w:val="0"/>
              <w:spacing w:line="360" w:lineRule="auto"/>
              <w:ind w:firstLine="480" w:firstLineChars="200"/>
              <w:rPr>
                <w:color w:val="auto"/>
                <w:sz w:val="24"/>
                <w:szCs w:val="24"/>
              </w:rPr>
            </w:pPr>
            <w:r>
              <w:rPr>
                <w:color w:val="auto"/>
                <w:sz w:val="24"/>
                <w:szCs w:val="24"/>
              </w:rPr>
              <w:t>监测项目：厂界</w:t>
            </w:r>
            <w:r>
              <w:rPr>
                <w:rFonts w:hint="eastAsia"/>
                <w:color w:val="auto"/>
                <w:sz w:val="24"/>
                <w:szCs w:val="24"/>
                <w:lang w:eastAsia="zh-CN"/>
              </w:rPr>
              <w:t>环境</w:t>
            </w:r>
            <w:r>
              <w:rPr>
                <w:color w:val="auto"/>
                <w:sz w:val="24"/>
                <w:szCs w:val="24"/>
              </w:rPr>
              <w:t>噪声</w:t>
            </w:r>
          </w:p>
          <w:p w14:paraId="1FF614F3">
            <w:pPr>
              <w:adjustRightInd w:val="0"/>
              <w:snapToGrid w:val="0"/>
              <w:spacing w:line="360" w:lineRule="auto"/>
              <w:ind w:firstLine="480" w:firstLineChars="200"/>
              <w:rPr>
                <w:color w:val="auto"/>
                <w:sz w:val="24"/>
                <w:szCs w:val="24"/>
              </w:rPr>
            </w:pPr>
            <w:r>
              <w:rPr>
                <w:color w:val="auto"/>
                <w:sz w:val="24"/>
                <w:szCs w:val="24"/>
              </w:rPr>
              <w:t>监测频次：昼、夜各监测1次，监测2天。</w:t>
            </w:r>
          </w:p>
          <w:p w14:paraId="01E51EE1">
            <w:pPr>
              <w:spacing w:line="360" w:lineRule="auto"/>
              <w:ind w:firstLine="420" w:firstLineChars="200"/>
              <w:rPr>
                <w:color w:val="auto"/>
                <w:szCs w:val="21"/>
              </w:rPr>
            </w:pPr>
          </w:p>
          <w:p w14:paraId="2BA7582C">
            <w:pPr>
              <w:spacing w:line="360" w:lineRule="auto"/>
              <w:ind w:firstLine="480" w:firstLineChars="200"/>
              <w:rPr>
                <w:color w:val="auto"/>
                <w:sz w:val="24"/>
              </w:rPr>
            </w:pPr>
          </w:p>
        </w:tc>
      </w:tr>
    </w:tbl>
    <w:p w14:paraId="2F7E24FE">
      <w:pPr>
        <w:pStyle w:val="7"/>
        <w:rPr>
          <w:b w:val="0"/>
          <w:bCs/>
          <w:color w:val="auto"/>
          <w:szCs w:val="24"/>
        </w:rPr>
      </w:pPr>
      <w:bookmarkStart w:id="7" w:name="_Toc523906061"/>
      <w:r>
        <w:rPr>
          <w:color w:val="auto"/>
        </w:rPr>
        <w:t>表</w:t>
      </w:r>
      <w:r>
        <w:rPr>
          <w:rFonts w:hint="eastAsia"/>
          <w:color w:val="auto"/>
        </w:rPr>
        <w:t>七</w:t>
      </w:r>
      <w:r>
        <w:rPr>
          <w:color w:val="auto"/>
        </w:rPr>
        <w:t xml:space="preserve"> </w:t>
      </w:r>
      <w:r>
        <w:rPr>
          <w:rFonts w:hint="eastAsia"/>
          <w:color w:val="auto"/>
        </w:rPr>
        <w:t>验收</w:t>
      </w:r>
      <w:r>
        <w:rPr>
          <w:color w:val="auto"/>
        </w:rPr>
        <w:t>监测结果及分析</w:t>
      </w:r>
      <w:bookmarkEnd w:id="7"/>
    </w:p>
    <w:tbl>
      <w:tblPr>
        <w:tblStyle w:val="34"/>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4E22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4" w:hRule="atLeast"/>
        </w:trPr>
        <w:tc>
          <w:tcPr>
            <w:tcW w:w="9287" w:type="dxa"/>
            <w:tcBorders>
              <w:top w:val="single" w:color="auto" w:sz="12" w:space="0"/>
              <w:bottom w:val="single" w:color="auto" w:sz="4" w:space="0"/>
            </w:tcBorders>
            <w:shd w:val="clear" w:color="auto" w:fill="auto"/>
          </w:tcPr>
          <w:p w14:paraId="5B4F1229">
            <w:pPr>
              <w:spacing w:line="360" w:lineRule="auto"/>
              <w:rPr>
                <w:b/>
                <w:color w:val="auto"/>
                <w:sz w:val="24"/>
                <w:szCs w:val="24"/>
              </w:rPr>
            </w:pPr>
            <w:bookmarkStart w:id="8" w:name="OLE_LINK15"/>
            <w:r>
              <w:rPr>
                <w:b/>
                <w:color w:val="auto"/>
                <w:sz w:val="24"/>
                <w:szCs w:val="24"/>
              </w:rPr>
              <w:t>7.1 监测期间工况调查</w:t>
            </w:r>
          </w:p>
          <w:p w14:paraId="7A61D3E5">
            <w:pPr>
              <w:adjustRightInd w:val="0"/>
              <w:snapToGrid w:val="0"/>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lang w:eastAsia="zh-CN"/>
              </w:rPr>
              <w:t>江西宏德检测技术有限公司</w:t>
            </w:r>
            <w:r>
              <w:rPr>
                <w:rFonts w:hint="eastAsia"/>
                <w:color w:val="auto"/>
                <w:sz w:val="24"/>
                <w:szCs w:val="24"/>
                <w:highlight w:val="none"/>
              </w:rPr>
              <w:t>于2026年</w:t>
            </w:r>
            <w:r>
              <w:rPr>
                <w:rFonts w:hint="eastAsia"/>
                <w:color w:val="auto"/>
                <w:sz w:val="24"/>
                <w:szCs w:val="24"/>
                <w:highlight w:val="none"/>
                <w:lang w:val="en-US" w:eastAsia="zh-CN"/>
              </w:rPr>
              <w:t>6</w:t>
            </w:r>
            <w:r>
              <w:rPr>
                <w:rFonts w:hint="eastAsia"/>
                <w:color w:val="auto"/>
                <w:sz w:val="24"/>
                <w:szCs w:val="24"/>
                <w:highlight w:val="none"/>
              </w:rPr>
              <w:t>月1</w:t>
            </w:r>
            <w:r>
              <w:rPr>
                <w:rFonts w:hint="eastAsia"/>
                <w:color w:val="auto"/>
                <w:sz w:val="24"/>
                <w:szCs w:val="24"/>
                <w:highlight w:val="none"/>
                <w:lang w:val="en-US" w:eastAsia="zh-CN"/>
              </w:rPr>
              <w:t>1</w:t>
            </w:r>
            <w:r>
              <w:rPr>
                <w:rFonts w:hint="eastAsia"/>
                <w:color w:val="auto"/>
                <w:sz w:val="24"/>
                <w:szCs w:val="24"/>
                <w:highlight w:val="none"/>
              </w:rPr>
              <w:t>日~1</w:t>
            </w:r>
            <w:r>
              <w:rPr>
                <w:rFonts w:hint="eastAsia"/>
                <w:color w:val="auto"/>
                <w:sz w:val="24"/>
                <w:szCs w:val="24"/>
                <w:highlight w:val="none"/>
                <w:lang w:val="en-US" w:eastAsia="zh-CN"/>
              </w:rPr>
              <w:t>2</w:t>
            </w:r>
            <w:r>
              <w:rPr>
                <w:rFonts w:hint="eastAsia"/>
                <w:color w:val="auto"/>
                <w:sz w:val="24"/>
                <w:szCs w:val="24"/>
                <w:highlight w:val="none"/>
              </w:rPr>
              <w:t>日对项目环保工程进行了竣工验收监测并出具了监测报告。监测期间，项目环保设施正常运行，满足建设项目竣工环保验收监测条件</w:t>
            </w:r>
            <w:r>
              <w:rPr>
                <w:rFonts w:hint="eastAsia"/>
                <w:color w:val="auto"/>
                <w:sz w:val="24"/>
                <w:szCs w:val="24"/>
                <w:highlight w:val="none"/>
                <w:lang w:eastAsia="zh-CN"/>
              </w:rPr>
              <w:t>。</w:t>
            </w:r>
          </w:p>
          <w:p w14:paraId="57D8D1D6">
            <w:pPr>
              <w:spacing w:line="360" w:lineRule="auto"/>
              <w:rPr>
                <w:b/>
                <w:color w:val="auto"/>
                <w:sz w:val="24"/>
                <w:szCs w:val="24"/>
              </w:rPr>
            </w:pPr>
            <w:r>
              <w:rPr>
                <w:b/>
                <w:color w:val="auto"/>
                <w:sz w:val="24"/>
                <w:szCs w:val="24"/>
              </w:rPr>
              <w:t>7.2 污染源排放监测结果</w:t>
            </w:r>
          </w:p>
          <w:p w14:paraId="16A59236">
            <w:pPr>
              <w:spacing w:line="360" w:lineRule="auto"/>
              <w:rPr>
                <w:b/>
                <w:color w:val="auto"/>
                <w:sz w:val="24"/>
                <w:szCs w:val="24"/>
              </w:rPr>
            </w:pPr>
            <w:r>
              <w:rPr>
                <w:b/>
                <w:color w:val="auto"/>
                <w:sz w:val="24"/>
                <w:szCs w:val="24"/>
              </w:rPr>
              <w:t>7.2.1 有组织废气排放监测结果及分析</w:t>
            </w:r>
          </w:p>
          <w:p w14:paraId="0D2370CF">
            <w:pPr>
              <w:adjustRightInd w:val="0"/>
              <w:snapToGrid w:val="0"/>
              <w:spacing w:line="360" w:lineRule="auto"/>
              <w:ind w:firstLine="480" w:firstLineChars="200"/>
              <w:rPr>
                <w:color w:val="auto"/>
                <w:sz w:val="24"/>
                <w:szCs w:val="24"/>
              </w:rPr>
            </w:pPr>
            <w:r>
              <w:rPr>
                <w:color w:val="auto"/>
                <w:sz w:val="24"/>
                <w:szCs w:val="24"/>
              </w:rPr>
              <w:t>项目有组织排放废气监测结果见</w:t>
            </w:r>
            <w:r>
              <w:rPr>
                <w:rFonts w:hint="eastAsia"/>
                <w:color w:val="auto"/>
                <w:sz w:val="24"/>
                <w:szCs w:val="24"/>
                <w:lang w:eastAsia="zh-CN"/>
              </w:rPr>
              <w:t>下表</w:t>
            </w:r>
            <w:r>
              <w:rPr>
                <w:color w:val="auto"/>
                <w:sz w:val="24"/>
                <w:szCs w:val="24"/>
              </w:rPr>
              <w:t>。</w:t>
            </w:r>
          </w:p>
          <w:p w14:paraId="7A279778">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表7-1  DA001有组织废气监测结果一览表</w:t>
            </w:r>
          </w:p>
          <w:tbl>
            <w:tblPr>
              <w:tblStyle w:val="134"/>
              <w:tblW w:w="4997" w:type="pct"/>
              <w:tblInd w:w="2" w:type="dxa"/>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102"/>
              <w:gridCol w:w="1921"/>
              <w:gridCol w:w="856"/>
              <w:gridCol w:w="856"/>
              <w:gridCol w:w="861"/>
              <w:gridCol w:w="856"/>
              <w:gridCol w:w="856"/>
              <w:gridCol w:w="871"/>
              <w:gridCol w:w="887"/>
            </w:tblGrid>
            <w:tr w14:paraId="1087AF57">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1B63EA9F">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项目/采样点位</w:t>
                  </w:r>
                </w:p>
              </w:tc>
              <w:tc>
                <w:tcPr>
                  <w:tcW w:w="2843" w:type="pct"/>
                  <w:gridSpan w:val="6"/>
                  <w:vAlign w:val="center"/>
                </w:tcPr>
                <w:p w14:paraId="322D4CCB">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废气排放口 DA001</w:t>
                  </w:r>
                </w:p>
              </w:tc>
              <w:tc>
                <w:tcPr>
                  <w:tcW w:w="489" w:type="pct"/>
                  <w:vAlign w:val="center"/>
                </w:tcPr>
                <w:p w14:paraId="776B6E4A">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标准限值</w:t>
                  </w:r>
                </w:p>
              </w:tc>
            </w:tr>
            <w:tr w14:paraId="0908C43F">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276D7BDA">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采样时间</w:t>
                  </w:r>
                </w:p>
              </w:tc>
              <w:tc>
                <w:tcPr>
                  <w:tcW w:w="1419" w:type="pct"/>
                  <w:gridSpan w:val="3"/>
                  <w:vAlign w:val="center"/>
                </w:tcPr>
                <w:p w14:paraId="52B5A1E9">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bidi="ar"/>
                    </w:rPr>
                    <w:t>2026.</w:t>
                  </w:r>
                  <w:r>
                    <w:rPr>
                      <w:rStyle w:val="108"/>
                      <w:rFonts w:hint="default" w:ascii="Times New Roman" w:hAnsi="Times New Roman" w:cs="Times New Roman"/>
                      <w:color w:val="auto"/>
                      <w:sz w:val="21"/>
                      <w:szCs w:val="21"/>
                      <w:highlight w:val="none"/>
                      <w:lang w:val="en-US" w:eastAsia="zh-CN" w:bidi="ar"/>
                    </w:rPr>
                    <w:t>6.11</w:t>
                  </w:r>
                </w:p>
              </w:tc>
              <w:tc>
                <w:tcPr>
                  <w:tcW w:w="1423" w:type="pct"/>
                  <w:gridSpan w:val="3"/>
                  <w:vAlign w:val="center"/>
                </w:tcPr>
                <w:p w14:paraId="68C9960F">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bidi="ar"/>
                    </w:rPr>
                    <w:t>2026.</w:t>
                  </w:r>
                  <w:r>
                    <w:rPr>
                      <w:rStyle w:val="108"/>
                      <w:rFonts w:hint="default" w:ascii="Times New Roman" w:hAnsi="Times New Roman" w:cs="Times New Roman"/>
                      <w:color w:val="auto"/>
                      <w:sz w:val="21"/>
                      <w:szCs w:val="21"/>
                      <w:highlight w:val="none"/>
                      <w:lang w:val="en-US" w:eastAsia="zh-CN" w:bidi="ar"/>
                    </w:rPr>
                    <w:t>6.12</w:t>
                  </w:r>
                </w:p>
              </w:tc>
              <w:tc>
                <w:tcPr>
                  <w:tcW w:w="489" w:type="pct"/>
                  <w:vAlign w:val="center"/>
                </w:tcPr>
                <w:p w14:paraId="22DF1402">
                  <w:pPr>
                    <w:widowControl/>
                    <w:jc w:val="center"/>
                    <w:textAlignment w:val="top"/>
                    <w:rPr>
                      <w:rStyle w:val="108"/>
                      <w:rFonts w:hint="default" w:ascii="Times New Roman" w:hAnsi="Times New Roman"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w:t>
                  </w:r>
                </w:p>
              </w:tc>
            </w:tr>
            <w:tr w14:paraId="1F98E2C5">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31C10163">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烟囱高度</w:t>
                  </w:r>
                </w:p>
              </w:tc>
              <w:tc>
                <w:tcPr>
                  <w:tcW w:w="2843" w:type="pct"/>
                  <w:gridSpan w:val="6"/>
                  <w:vAlign w:val="center"/>
                </w:tcPr>
                <w:p w14:paraId="3845E3F9">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val="en-US" w:eastAsia="zh-CN" w:bidi="ar"/>
                    </w:rPr>
                    <w:t>20</w:t>
                  </w:r>
                  <w:r>
                    <w:rPr>
                      <w:rStyle w:val="108"/>
                      <w:rFonts w:hint="default" w:ascii="Times New Roman" w:hAnsi="Times New Roman" w:cs="Times New Roman"/>
                      <w:color w:val="auto"/>
                      <w:sz w:val="21"/>
                      <w:szCs w:val="21"/>
                      <w:highlight w:val="none"/>
                      <w:lang w:bidi="ar"/>
                    </w:rPr>
                    <w:t>m</w:t>
                  </w:r>
                </w:p>
              </w:tc>
              <w:tc>
                <w:tcPr>
                  <w:tcW w:w="489" w:type="pct"/>
                  <w:vAlign w:val="center"/>
                </w:tcPr>
                <w:p w14:paraId="0A12E201">
                  <w:pPr>
                    <w:widowControl/>
                    <w:jc w:val="center"/>
                    <w:textAlignment w:val="top"/>
                    <w:rPr>
                      <w:rStyle w:val="108"/>
                      <w:rFonts w:hint="default" w:ascii="Times New Roman" w:hAnsi="Times New Roman"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w:t>
                  </w:r>
                </w:p>
              </w:tc>
            </w:tr>
            <w:tr w14:paraId="5FD607E9">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13C1E3DF">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检测频次</w:t>
                  </w:r>
                </w:p>
              </w:tc>
              <w:tc>
                <w:tcPr>
                  <w:tcW w:w="472" w:type="pct"/>
                  <w:vAlign w:val="center"/>
                </w:tcPr>
                <w:p w14:paraId="6BAFFC53">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第一次</w:t>
                  </w:r>
                </w:p>
              </w:tc>
              <w:tc>
                <w:tcPr>
                  <w:tcW w:w="472" w:type="pct"/>
                  <w:vAlign w:val="center"/>
                </w:tcPr>
                <w:p w14:paraId="109F0684">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第二次</w:t>
                  </w:r>
                </w:p>
              </w:tc>
              <w:tc>
                <w:tcPr>
                  <w:tcW w:w="475" w:type="pct"/>
                  <w:vAlign w:val="center"/>
                </w:tcPr>
                <w:p w14:paraId="63E7751A">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第三次</w:t>
                  </w:r>
                </w:p>
              </w:tc>
              <w:tc>
                <w:tcPr>
                  <w:tcW w:w="472" w:type="pct"/>
                  <w:vAlign w:val="center"/>
                </w:tcPr>
                <w:p w14:paraId="7D925216">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第一次</w:t>
                  </w:r>
                </w:p>
              </w:tc>
              <w:tc>
                <w:tcPr>
                  <w:tcW w:w="472" w:type="pct"/>
                  <w:vAlign w:val="center"/>
                </w:tcPr>
                <w:p w14:paraId="08C12BC4">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第二次</w:t>
                  </w:r>
                </w:p>
              </w:tc>
              <w:tc>
                <w:tcPr>
                  <w:tcW w:w="478" w:type="pct"/>
                  <w:vAlign w:val="center"/>
                </w:tcPr>
                <w:p w14:paraId="26AAACCF">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第三次</w:t>
                  </w:r>
                </w:p>
              </w:tc>
              <w:tc>
                <w:tcPr>
                  <w:tcW w:w="489" w:type="pct"/>
                  <w:vAlign w:val="center"/>
                </w:tcPr>
                <w:p w14:paraId="2D9AF6F5">
                  <w:pPr>
                    <w:widowControl/>
                    <w:jc w:val="center"/>
                    <w:textAlignment w:val="top"/>
                    <w:rPr>
                      <w:rStyle w:val="108"/>
                      <w:rFonts w:hint="default" w:ascii="Times New Roman" w:hAnsi="Times New Roman"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w:t>
                  </w:r>
                </w:p>
              </w:tc>
            </w:tr>
            <w:tr w14:paraId="08EDA889">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8" w:type="pct"/>
                  <w:tcBorders>
                    <w:top w:val="single" w:color="auto" w:sz="4" w:space="0"/>
                    <w:bottom w:val="single" w:color="auto" w:sz="4" w:space="0"/>
                    <w:right w:val="single" w:color="auto" w:sz="4" w:space="0"/>
                  </w:tcBorders>
                  <w:vAlign w:val="center"/>
                </w:tcPr>
                <w:p w14:paraId="068C9C6F">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烟气参数</w:t>
                  </w:r>
                </w:p>
              </w:tc>
              <w:tc>
                <w:tcPr>
                  <w:tcW w:w="1058" w:type="pct"/>
                  <w:tcBorders>
                    <w:left w:val="single" w:color="auto" w:sz="4" w:space="0"/>
                  </w:tcBorders>
                  <w:vAlign w:val="center"/>
                </w:tcPr>
                <w:p w14:paraId="73301B62">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烟气流量(m</w:t>
                  </w:r>
                  <w:r>
                    <w:rPr>
                      <w:rStyle w:val="108"/>
                      <w:rFonts w:hint="default" w:ascii="Times New Roman" w:hAnsi="Times New Roman" w:cs="Times New Roman"/>
                      <w:color w:val="auto"/>
                      <w:sz w:val="21"/>
                      <w:szCs w:val="21"/>
                      <w:highlight w:val="none"/>
                      <w:vertAlign w:val="superscript"/>
                      <w:lang w:bidi="ar"/>
                    </w:rPr>
                    <w:t>3</w:t>
                  </w:r>
                  <w:r>
                    <w:rPr>
                      <w:rStyle w:val="108"/>
                      <w:rFonts w:hint="default" w:ascii="Times New Roman" w:hAnsi="Times New Roman" w:cs="Times New Roman"/>
                      <w:color w:val="auto"/>
                      <w:sz w:val="21"/>
                      <w:szCs w:val="21"/>
                      <w:highlight w:val="none"/>
                      <w:lang w:bidi="ar"/>
                    </w:rPr>
                    <w:t>/h)</w:t>
                  </w:r>
                </w:p>
              </w:tc>
              <w:tc>
                <w:tcPr>
                  <w:tcW w:w="472" w:type="pct"/>
                  <w:vAlign w:val="center"/>
                </w:tcPr>
                <w:p w14:paraId="161C5774">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10205</w:t>
                  </w:r>
                </w:p>
              </w:tc>
              <w:tc>
                <w:tcPr>
                  <w:tcW w:w="472" w:type="pct"/>
                  <w:vAlign w:val="center"/>
                </w:tcPr>
                <w:p w14:paraId="05ECE41D">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10001</w:t>
                  </w:r>
                </w:p>
              </w:tc>
              <w:tc>
                <w:tcPr>
                  <w:tcW w:w="475" w:type="pct"/>
                  <w:vAlign w:val="center"/>
                </w:tcPr>
                <w:p w14:paraId="1E55AE63">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10380</w:t>
                  </w:r>
                </w:p>
              </w:tc>
              <w:tc>
                <w:tcPr>
                  <w:tcW w:w="472" w:type="pct"/>
                  <w:vAlign w:val="center"/>
                </w:tcPr>
                <w:p w14:paraId="64E56290">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10024</w:t>
                  </w:r>
                </w:p>
              </w:tc>
              <w:tc>
                <w:tcPr>
                  <w:tcW w:w="472" w:type="pct"/>
                  <w:vAlign w:val="center"/>
                </w:tcPr>
                <w:p w14:paraId="2B164CEF">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10315</w:t>
                  </w:r>
                </w:p>
              </w:tc>
              <w:tc>
                <w:tcPr>
                  <w:tcW w:w="478" w:type="pct"/>
                  <w:vAlign w:val="center"/>
                </w:tcPr>
                <w:p w14:paraId="18068E1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10187</w:t>
                  </w:r>
                </w:p>
              </w:tc>
              <w:tc>
                <w:tcPr>
                  <w:tcW w:w="489" w:type="pct"/>
                  <w:vAlign w:val="center"/>
                </w:tcPr>
                <w:p w14:paraId="69748F18">
                  <w:pPr>
                    <w:widowControl/>
                    <w:jc w:val="center"/>
                    <w:textAlignment w:val="top"/>
                    <w:rPr>
                      <w:rStyle w:val="108"/>
                      <w:rFonts w:hint="default" w:ascii="Times New Roman" w:hAnsi="Times New Roman"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w:t>
                  </w:r>
                </w:p>
              </w:tc>
            </w:tr>
            <w:tr w14:paraId="4CEBF205">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8" w:type="pct"/>
                  <w:vMerge w:val="restart"/>
                  <w:tcBorders>
                    <w:top w:val="single" w:color="auto" w:sz="4" w:space="0"/>
                    <w:bottom w:val="single" w:color="auto" w:sz="4" w:space="0"/>
                  </w:tcBorders>
                  <w:vAlign w:val="center"/>
                </w:tcPr>
                <w:p w14:paraId="33CA69F4">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颗粒物</w:t>
                  </w:r>
                </w:p>
              </w:tc>
              <w:tc>
                <w:tcPr>
                  <w:tcW w:w="1058" w:type="pct"/>
                  <w:vAlign w:val="center"/>
                </w:tcPr>
                <w:p w14:paraId="59098CDD">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实测浓度（mg/m</w:t>
                  </w:r>
                  <w:r>
                    <w:rPr>
                      <w:rStyle w:val="108"/>
                      <w:rFonts w:hint="default" w:ascii="Times New Roman" w:hAnsi="Times New Roman" w:cs="Times New Roman"/>
                      <w:color w:val="auto"/>
                      <w:sz w:val="21"/>
                      <w:szCs w:val="21"/>
                      <w:highlight w:val="none"/>
                      <w:vertAlign w:val="superscript"/>
                      <w:lang w:bidi="ar"/>
                    </w:rPr>
                    <w:t>3</w:t>
                  </w:r>
                  <w:r>
                    <w:rPr>
                      <w:rStyle w:val="108"/>
                      <w:rFonts w:hint="default" w:ascii="Times New Roman" w:hAnsi="Times New Roman" w:cs="Times New Roman"/>
                      <w:color w:val="auto"/>
                      <w:sz w:val="21"/>
                      <w:szCs w:val="21"/>
                      <w:highlight w:val="none"/>
                      <w:lang w:bidi="ar"/>
                    </w:rPr>
                    <w:t>）</w:t>
                  </w:r>
                </w:p>
              </w:tc>
              <w:tc>
                <w:tcPr>
                  <w:tcW w:w="472" w:type="pct"/>
                  <w:vAlign w:val="center"/>
                </w:tcPr>
                <w:p w14:paraId="2F526413">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31</w:t>
                  </w:r>
                </w:p>
              </w:tc>
              <w:tc>
                <w:tcPr>
                  <w:tcW w:w="472" w:type="pct"/>
                  <w:vAlign w:val="center"/>
                </w:tcPr>
                <w:p w14:paraId="3A841656">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28</w:t>
                  </w:r>
                </w:p>
              </w:tc>
              <w:tc>
                <w:tcPr>
                  <w:tcW w:w="475" w:type="pct"/>
                  <w:vAlign w:val="center"/>
                </w:tcPr>
                <w:p w14:paraId="765C36A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34</w:t>
                  </w:r>
                </w:p>
              </w:tc>
              <w:tc>
                <w:tcPr>
                  <w:tcW w:w="472" w:type="pct"/>
                  <w:vAlign w:val="center"/>
                </w:tcPr>
                <w:p w14:paraId="32320D92">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26</w:t>
                  </w:r>
                </w:p>
              </w:tc>
              <w:tc>
                <w:tcPr>
                  <w:tcW w:w="472" w:type="pct"/>
                  <w:vAlign w:val="center"/>
                </w:tcPr>
                <w:p w14:paraId="56167303">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37</w:t>
                  </w:r>
                </w:p>
              </w:tc>
              <w:tc>
                <w:tcPr>
                  <w:tcW w:w="478" w:type="pct"/>
                  <w:vAlign w:val="center"/>
                </w:tcPr>
                <w:p w14:paraId="466E0174">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41</w:t>
                  </w:r>
                </w:p>
              </w:tc>
              <w:tc>
                <w:tcPr>
                  <w:tcW w:w="489" w:type="pct"/>
                  <w:vAlign w:val="center"/>
                </w:tcPr>
                <w:p w14:paraId="6E8EA086">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120</w:t>
                  </w:r>
                </w:p>
              </w:tc>
            </w:tr>
            <w:tr w14:paraId="08B8B8A2">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8" w:type="pct"/>
                  <w:vMerge w:val="continue"/>
                  <w:tcBorders>
                    <w:top w:val="single" w:color="auto" w:sz="4" w:space="0"/>
                    <w:bottom w:val="single" w:color="auto" w:sz="4" w:space="0"/>
                  </w:tcBorders>
                  <w:vAlign w:val="center"/>
                </w:tcPr>
                <w:p w14:paraId="61D40AD9">
                  <w:pPr>
                    <w:widowControl/>
                    <w:jc w:val="center"/>
                    <w:textAlignment w:val="top"/>
                    <w:rPr>
                      <w:rStyle w:val="108"/>
                      <w:rFonts w:hint="default" w:ascii="Times New Roman" w:hAnsi="Times New Roman" w:cs="Times New Roman"/>
                      <w:color w:val="auto"/>
                      <w:sz w:val="21"/>
                      <w:szCs w:val="21"/>
                      <w:highlight w:val="none"/>
                      <w:lang w:bidi="ar"/>
                    </w:rPr>
                  </w:pPr>
                </w:p>
              </w:tc>
              <w:tc>
                <w:tcPr>
                  <w:tcW w:w="1058" w:type="pct"/>
                  <w:vAlign w:val="center"/>
                </w:tcPr>
                <w:p w14:paraId="07491516">
                  <w:pPr>
                    <w:widowControl/>
                    <w:jc w:val="center"/>
                    <w:textAlignment w:val="top"/>
                    <w:rPr>
                      <w:rStyle w:val="108"/>
                      <w:rFonts w:hint="default" w:ascii="Times New Roman" w:hAnsi="Times New Roman" w:cs="Times New Roman"/>
                      <w:color w:val="auto"/>
                      <w:sz w:val="21"/>
                      <w:szCs w:val="21"/>
                      <w:highlight w:val="none"/>
                      <w:lang w:bidi="ar"/>
                    </w:rPr>
                  </w:pPr>
                  <w:r>
                    <w:rPr>
                      <w:rStyle w:val="108"/>
                      <w:rFonts w:hint="default" w:ascii="Times New Roman" w:hAnsi="Times New Roman" w:cs="Times New Roman"/>
                      <w:color w:val="auto"/>
                      <w:sz w:val="21"/>
                      <w:szCs w:val="21"/>
                      <w:highlight w:val="none"/>
                      <w:lang w:bidi="ar"/>
                    </w:rPr>
                    <w:t>排放速率(kg/h)</w:t>
                  </w:r>
                </w:p>
              </w:tc>
              <w:tc>
                <w:tcPr>
                  <w:tcW w:w="472" w:type="pct"/>
                  <w:vAlign w:val="center"/>
                </w:tcPr>
                <w:p w14:paraId="3179DDF0">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0.316</w:t>
                  </w:r>
                </w:p>
              </w:tc>
              <w:tc>
                <w:tcPr>
                  <w:tcW w:w="472" w:type="pct"/>
                  <w:vAlign w:val="center"/>
                </w:tcPr>
                <w:p w14:paraId="2A4E6E75">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0.280</w:t>
                  </w:r>
                </w:p>
              </w:tc>
              <w:tc>
                <w:tcPr>
                  <w:tcW w:w="475" w:type="pct"/>
                  <w:vAlign w:val="center"/>
                </w:tcPr>
                <w:p w14:paraId="4C78BB0D">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0.353</w:t>
                  </w:r>
                </w:p>
              </w:tc>
              <w:tc>
                <w:tcPr>
                  <w:tcW w:w="472" w:type="pct"/>
                  <w:vAlign w:val="center"/>
                </w:tcPr>
                <w:p w14:paraId="0EC0CD93">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0.261</w:t>
                  </w:r>
                </w:p>
              </w:tc>
              <w:tc>
                <w:tcPr>
                  <w:tcW w:w="472" w:type="pct"/>
                  <w:vAlign w:val="center"/>
                </w:tcPr>
                <w:p w14:paraId="59B5D814">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0.382</w:t>
                  </w:r>
                </w:p>
              </w:tc>
              <w:tc>
                <w:tcPr>
                  <w:tcW w:w="478" w:type="pct"/>
                  <w:vAlign w:val="center"/>
                </w:tcPr>
                <w:p w14:paraId="59101F86">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cs="Times New Roman"/>
                      <w:color w:val="auto"/>
                      <w:sz w:val="21"/>
                      <w:szCs w:val="21"/>
                      <w:highlight w:val="none"/>
                      <w:lang w:val="en-US" w:eastAsia="zh-CN" w:bidi="ar"/>
                    </w:rPr>
                    <w:t>0.418</w:t>
                  </w:r>
                </w:p>
              </w:tc>
              <w:tc>
                <w:tcPr>
                  <w:tcW w:w="489" w:type="pct"/>
                  <w:vAlign w:val="center"/>
                </w:tcPr>
                <w:p w14:paraId="66B5A21F">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2.95</w:t>
                  </w:r>
                </w:p>
              </w:tc>
            </w:tr>
          </w:tbl>
          <w:p w14:paraId="7D5EDED2">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表7-2 DA002有组织废气监测结果一览表</w:t>
            </w:r>
          </w:p>
          <w:tbl>
            <w:tblPr>
              <w:tblStyle w:val="134"/>
              <w:tblW w:w="4997" w:type="pct"/>
              <w:tblInd w:w="2" w:type="dxa"/>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102"/>
              <w:gridCol w:w="1921"/>
              <w:gridCol w:w="856"/>
              <w:gridCol w:w="856"/>
              <w:gridCol w:w="861"/>
              <w:gridCol w:w="856"/>
              <w:gridCol w:w="856"/>
              <w:gridCol w:w="871"/>
              <w:gridCol w:w="887"/>
            </w:tblGrid>
            <w:tr w14:paraId="33A8B172">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748D120C">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项目/采样点位</w:t>
                  </w:r>
                </w:p>
              </w:tc>
              <w:tc>
                <w:tcPr>
                  <w:tcW w:w="2843" w:type="pct"/>
                  <w:gridSpan w:val="6"/>
                  <w:vAlign w:val="center"/>
                </w:tcPr>
                <w:p w14:paraId="43DCB508">
                  <w:pPr>
                    <w:widowControl/>
                    <w:jc w:val="center"/>
                    <w:textAlignment w:val="top"/>
                    <w:rPr>
                      <w:rStyle w:val="108"/>
                      <w:rFonts w:hint="eastAsia"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bidi="ar"/>
                    </w:rPr>
                    <w:t>废气排放口 DA00</w:t>
                  </w:r>
                  <w:r>
                    <w:rPr>
                      <w:rStyle w:val="108"/>
                      <w:rFonts w:hint="eastAsia" w:ascii="Times New Roman" w:hAnsi="Times New Roman" w:eastAsia="宋体" w:cs="Times New Roman"/>
                      <w:color w:val="auto"/>
                      <w:sz w:val="21"/>
                      <w:szCs w:val="21"/>
                      <w:highlight w:val="none"/>
                      <w:lang w:val="en-US" w:eastAsia="zh-CN" w:bidi="ar"/>
                    </w:rPr>
                    <w:t>2</w:t>
                  </w:r>
                </w:p>
              </w:tc>
              <w:tc>
                <w:tcPr>
                  <w:tcW w:w="489" w:type="pct"/>
                  <w:vAlign w:val="center"/>
                </w:tcPr>
                <w:p w14:paraId="7E0B32D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标准限值</w:t>
                  </w:r>
                </w:p>
              </w:tc>
            </w:tr>
            <w:tr w14:paraId="598CFD3B">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15FD971D">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采样时间</w:t>
                  </w:r>
                </w:p>
              </w:tc>
              <w:tc>
                <w:tcPr>
                  <w:tcW w:w="1419" w:type="pct"/>
                  <w:gridSpan w:val="3"/>
                  <w:vAlign w:val="center"/>
                </w:tcPr>
                <w:p w14:paraId="7DDCFC85">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bidi="ar"/>
                    </w:rPr>
                    <w:t>2026.</w:t>
                  </w:r>
                  <w:r>
                    <w:rPr>
                      <w:rStyle w:val="108"/>
                      <w:rFonts w:hint="default" w:ascii="Times New Roman" w:hAnsi="Times New Roman" w:eastAsia="宋体" w:cs="Times New Roman"/>
                      <w:color w:val="auto"/>
                      <w:sz w:val="21"/>
                      <w:szCs w:val="21"/>
                      <w:highlight w:val="none"/>
                      <w:lang w:val="en-US" w:eastAsia="zh-CN" w:bidi="ar"/>
                    </w:rPr>
                    <w:t>6.11</w:t>
                  </w:r>
                </w:p>
              </w:tc>
              <w:tc>
                <w:tcPr>
                  <w:tcW w:w="1423" w:type="pct"/>
                  <w:gridSpan w:val="3"/>
                  <w:vAlign w:val="center"/>
                </w:tcPr>
                <w:p w14:paraId="16E77809">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bidi="ar"/>
                    </w:rPr>
                    <w:t>2026.</w:t>
                  </w:r>
                  <w:r>
                    <w:rPr>
                      <w:rStyle w:val="108"/>
                      <w:rFonts w:hint="default" w:ascii="Times New Roman" w:hAnsi="Times New Roman" w:eastAsia="宋体" w:cs="Times New Roman"/>
                      <w:color w:val="auto"/>
                      <w:sz w:val="21"/>
                      <w:szCs w:val="21"/>
                      <w:highlight w:val="none"/>
                      <w:lang w:val="en-US" w:eastAsia="zh-CN" w:bidi="ar"/>
                    </w:rPr>
                    <w:t>6.12</w:t>
                  </w:r>
                </w:p>
              </w:tc>
              <w:tc>
                <w:tcPr>
                  <w:tcW w:w="489" w:type="pct"/>
                  <w:vAlign w:val="center"/>
                </w:tcPr>
                <w:p w14:paraId="7BF421A3">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r w14:paraId="07A42982">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6F88F256">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烟囱高度</w:t>
                  </w:r>
                </w:p>
              </w:tc>
              <w:tc>
                <w:tcPr>
                  <w:tcW w:w="2843" w:type="pct"/>
                  <w:gridSpan w:val="6"/>
                  <w:vAlign w:val="center"/>
                </w:tcPr>
                <w:p w14:paraId="5731D207">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val="en-US" w:eastAsia="zh-CN" w:bidi="ar"/>
                    </w:rPr>
                    <w:t>20</w:t>
                  </w:r>
                  <w:r>
                    <w:rPr>
                      <w:rStyle w:val="108"/>
                      <w:rFonts w:hint="default" w:ascii="Times New Roman" w:hAnsi="Times New Roman" w:eastAsia="宋体" w:cs="Times New Roman"/>
                      <w:color w:val="auto"/>
                      <w:sz w:val="21"/>
                      <w:szCs w:val="21"/>
                      <w:highlight w:val="none"/>
                      <w:lang w:bidi="ar"/>
                    </w:rPr>
                    <w:t>m</w:t>
                  </w:r>
                </w:p>
              </w:tc>
              <w:tc>
                <w:tcPr>
                  <w:tcW w:w="489" w:type="pct"/>
                  <w:vAlign w:val="center"/>
                </w:tcPr>
                <w:p w14:paraId="677E55F8">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r w14:paraId="40AEDEED">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20F96F4E">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检测频次</w:t>
                  </w:r>
                </w:p>
              </w:tc>
              <w:tc>
                <w:tcPr>
                  <w:tcW w:w="472" w:type="pct"/>
                  <w:vAlign w:val="center"/>
                </w:tcPr>
                <w:p w14:paraId="337C970D">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第一次</w:t>
                  </w:r>
                </w:p>
              </w:tc>
              <w:tc>
                <w:tcPr>
                  <w:tcW w:w="472" w:type="pct"/>
                  <w:vAlign w:val="center"/>
                </w:tcPr>
                <w:p w14:paraId="47A63236">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第二次</w:t>
                  </w:r>
                </w:p>
              </w:tc>
              <w:tc>
                <w:tcPr>
                  <w:tcW w:w="475" w:type="pct"/>
                  <w:vAlign w:val="center"/>
                </w:tcPr>
                <w:p w14:paraId="17CF074C">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第三次</w:t>
                  </w:r>
                </w:p>
              </w:tc>
              <w:tc>
                <w:tcPr>
                  <w:tcW w:w="472" w:type="pct"/>
                  <w:vAlign w:val="center"/>
                </w:tcPr>
                <w:p w14:paraId="4831D17A">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第一次</w:t>
                  </w:r>
                </w:p>
              </w:tc>
              <w:tc>
                <w:tcPr>
                  <w:tcW w:w="472" w:type="pct"/>
                  <w:vAlign w:val="center"/>
                </w:tcPr>
                <w:p w14:paraId="58D1266E">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第二次</w:t>
                  </w:r>
                </w:p>
              </w:tc>
              <w:tc>
                <w:tcPr>
                  <w:tcW w:w="478" w:type="pct"/>
                  <w:vAlign w:val="center"/>
                </w:tcPr>
                <w:p w14:paraId="753A274B">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第三次</w:t>
                  </w:r>
                </w:p>
              </w:tc>
              <w:tc>
                <w:tcPr>
                  <w:tcW w:w="489" w:type="pct"/>
                  <w:vAlign w:val="center"/>
                </w:tcPr>
                <w:p w14:paraId="3ED84BD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r w14:paraId="08C1244E">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8" w:type="pct"/>
                  <w:tcBorders>
                    <w:top w:val="single" w:color="auto" w:sz="4" w:space="0"/>
                    <w:bottom w:val="single" w:color="auto" w:sz="4" w:space="0"/>
                    <w:right w:val="single" w:color="auto" w:sz="4" w:space="0"/>
                  </w:tcBorders>
                  <w:vAlign w:val="center"/>
                </w:tcPr>
                <w:p w14:paraId="3748C8E0">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烟气参数</w:t>
                  </w:r>
                </w:p>
              </w:tc>
              <w:tc>
                <w:tcPr>
                  <w:tcW w:w="1058" w:type="pct"/>
                  <w:tcBorders>
                    <w:left w:val="single" w:color="auto" w:sz="4" w:space="0"/>
                  </w:tcBorders>
                  <w:vAlign w:val="center"/>
                </w:tcPr>
                <w:p w14:paraId="581B66B2">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烟气流量(</w:t>
                  </w:r>
                  <w:r>
                    <w:rPr>
                      <w:rStyle w:val="108"/>
                      <w:rFonts w:hint="default" w:ascii="Times New Roman" w:hAnsi="Times New Roman" w:cs="Times New Roman"/>
                      <w:color w:val="auto"/>
                      <w:sz w:val="21"/>
                      <w:szCs w:val="21"/>
                      <w:highlight w:val="none"/>
                      <w:lang w:bidi="ar"/>
                    </w:rPr>
                    <w:t>m</w:t>
                  </w:r>
                  <w:r>
                    <w:rPr>
                      <w:rStyle w:val="108"/>
                      <w:rFonts w:hint="default" w:ascii="Times New Roman" w:hAnsi="Times New Roman" w:cs="Times New Roman"/>
                      <w:color w:val="auto"/>
                      <w:sz w:val="21"/>
                      <w:szCs w:val="21"/>
                      <w:highlight w:val="none"/>
                      <w:vertAlign w:val="superscript"/>
                      <w:lang w:bidi="ar"/>
                    </w:rPr>
                    <w:t>3</w:t>
                  </w:r>
                  <w:r>
                    <w:rPr>
                      <w:rStyle w:val="108"/>
                      <w:rFonts w:hint="default" w:ascii="Times New Roman" w:hAnsi="Times New Roman" w:eastAsia="宋体" w:cs="Times New Roman"/>
                      <w:color w:val="auto"/>
                      <w:sz w:val="21"/>
                      <w:szCs w:val="21"/>
                      <w:highlight w:val="none"/>
                      <w:lang w:bidi="ar"/>
                    </w:rPr>
                    <w:t>/h)</w:t>
                  </w:r>
                </w:p>
              </w:tc>
              <w:tc>
                <w:tcPr>
                  <w:tcW w:w="472" w:type="pct"/>
                  <w:vAlign w:val="center"/>
                </w:tcPr>
                <w:p w14:paraId="209DF494">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42083</w:t>
                  </w:r>
                </w:p>
              </w:tc>
              <w:tc>
                <w:tcPr>
                  <w:tcW w:w="472" w:type="pct"/>
                  <w:vAlign w:val="center"/>
                </w:tcPr>
                <w:p w14:paraId="0CF7D8D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41166</w:t>
                  </w:r>
                </w:p>
              </w:tc>
              <w:tc>
                <w:tcPr>
                  <w:tcW w:w="475" w:type="pct"/>
                  <w:vAlign w:val="center"/>
                </w:tcPr>
                <w:p w14:paraId="47D65F64">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41965</w:t>
                  </w:r>
                </w:p>
              </w:tc>
              <w:tc>
                <w:tcPr>
                  <w:tcW w:w="472" w:type="pct"/>
                  <w:vAlign w:val="center"/>
                </w:tcPr>
                <w:p w14:paraId="4D35CE6D">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41098</w:t>
                  </w:r>
                </w:p>
              </w:tc>
              <w:tc>
                <w:tcPr>
                  <w:tcW w:w="472" w:type="pct"/>
                  <w:vAlign w:val="center"/>
                </w:tcPr>
                <w:p w14:paraId="37CA0629">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41674</w:t>
                  </w:r>
                </w:p>
              </w:tc>
              <w:tc>
                <w:tcPr>
                  <w:tcW w:w="478" w:type="pct"/>
                  <w:vAlign w:val="center"/>
                </w:tcPr>
                <w:p w14:paraId="4737E801">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41195</w:t>
                  </w:r>
                </w:p>
              </w:tc>
              <w:tc>
                <w:tcPr>
                  <w:tcW w:w="489" w:type="pct"/>
                  <w:vAlign w:val="center"/>
                </w:tcPr>
                <w:p w14:paraId="435E18FF">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r w14:paraId="40607AE7">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8" w:type="pct"/>
                  <w:vMerge w:val="restart"/>
                  <w:tcBorders>
                    <w:top w:val="single" w:color="auto" w:sz="4" w:space="0"/>
                    <w:bottom w:val="single" w:color="auto" w:sz="4" w:space="0"/>
                  </w:tcBorders>
                  <w:vAlign w:val="center"/>
                </w:tcPr>
                <w:p w14:paraId="2D3FA469">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颗粒物</w:t>
                  </w:r>
                </w:p>
              </w:tc>
              <w:tc>
                <w:tcPr>
                  <w:tcW w:w="1058" w:type="pct"/>
                  <w:vAlign w:val="center"/>
                </w:tcPr>
                <w:p w14:paraId="56DE9AEC">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实测浓度（mg/</w:t>
                  </w:r>
                  <w:r>
                    <w:rPr>
                      <w:rStyle w:val="108"/>
                      <w:rFonts w:hint="default" w:ascii="Times New Roman" w:hAnsi="Times New Roman" w:cs="Times New Roman"/>
                      <w:color w:val="auto"/>
                      <w:sz w:val="21"/>
                      <w:szCs w:val="21"/>
                      <w:highlight w:val="none"/>
                      <w:lang w:bidi="ar"/>
                    </w:rPr>
                    <w:t>m</w:t>
                  </w:r>
                  <w:r>
                    <w:rPr>
                      <w:rStyle w:val="108"/>
                      <w:rFonts w:hint="default" w:ascii="Times New Roman" w:hAnsi="Times New Roman" w:cs="Times New Roman"/>
                      <w:color w:val="auto"/>
                      <w:sz w:val="21"/>
                      <w:szCs w:val="21"/>
                      <w:highlight w:val="none"/>
                      <w:vertAlign w:val="superscript"/>
                      <w:lang w:bidi="ar"/>
                    </w:rPr>
                    <w:t>3</w:t>
                  </w:r>
                  <w:r>
                    <w:rPr>
                      <w:rStyle w:val="108"/>
                      <w:rFonts w:hint="default" w:ascii="Times New Roman" w:hAnsi="Times New Roman" w:eastAsia="宋体" w:cs="Times New Roman"/>
                      <w:color w:val="auto"/>
                      <w:sz w:val="21"/>
                      <w:szCs w:val="21"/>
                      <w:highlight w:val="none"/>
                      <w:lang w:bidi="ar"/>
                    </w:rPr>
                    <w:t>）</w:t>
                  </w:r>
                </w:p>
              </w:tc>
              <w:tc>
                <w:tcPr>
                  <w:tcW w:w="472" w:type="pct"/>
                  <w:vAlign w:val="center"/>
                </w:tcPr>
                <w:p w14:paraId="4F05A94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25</w:t>
                  </w:r>
                </w:p>
              </w:tc>
              <w:tc>
                <w:tcPr>
                  <w:tcW w:w="472" w:type="pct"/>
                  <w:vAlign w:val="center"/>
                </w:tcPr>
                <w:p w14:paraId="6F398BDF">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33</w:t>
                  </w:r>
                </w:p>
              </w:tc>
              <w:tc>
                <w:tcPr>
                  <w:tcW w:w="475" w:type="pct"/>
                  <w:vAlign w:val="center"/>
                </w:tcPr>
                <w:p w14:paraId="405D6B6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29</w:t>
                  </w:r>
                </w:p>
              </w:tc>
              <w:tc>
                <w:tcPr>
                  <w:tcW w:w="472" w:type="pct"/>
                  <w:vAlign w:val="center"/>
                </w:tcPr>
                <w:p w14:paraId="141351CB">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31</w:t>
                  </w:r>
                </w:p>
              </w:tc>
              <w:tc>
                <w:tcPr>
                  <w:tcW w:w="472" w:type="pct"/>
                  <w:vAlign w:val="center"/>
                </w:tcPr>
                <w:p w14:paraId="395C4A72">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27</w:t>
                  </w:r>
                </w:p>
              </w:tc>
              <w:tc>
                <w:tcPr>
                  <w:tcW w:w="478" w:type="pct"/>
                  <w:vAlign w:val="center"/>
                </w:tcPr>
                <w:p w14:paraId="73F5D426">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36</w:t>
                  </w:r>
                </w:p>
              </w:tc>
              <w:tc>
                <w:tcPr>
                  <w:tcW w:w="887" w:type="dxa"/>
                  <w:vAlign w:val="center"/>
                </w:tcPr>
                <w:p w14:paraId="3869DAC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120</w:t>
                  </w:r>
                </w:p>
              </w:tc>
            </w:tr>
            <w:tr w14:paraId="5328F924">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8" w:type="pct"/>
                  <w:vMerge w:val="continue"/>
                  <w:tcBorders>
                    <w:top w:val="single" w:color="auto" w:sz="4" w:space="0"/>
                    <w:bottom w:val="single" w:color="auto" w:sz="4" w:space="0"/>
                  </w:tcBorders>
                  <w:vAlign w:val="center"/>
                </w:tcPr>
                <w:p w14:paraId="47FC41B7">
                  <w:pPr>
                    <w:widowControl/>
                    <w:jc w:val="center"/>
                    <w:textAlignment w:val="top"/>
                    <w:rPr>
                      <w:rStyle w:val="108"/>
                      <w:rFonts w:hint="default" w:ascii="Times New Roman" w:hAnsi="Times New Roman" w:eastAsia="宋体" w:cs="Times New Roman"/>
                      <w:color w:val="auto"/>
                      <w:sz w:val="21"/>
                      <w:szCs w:val="21"/>
                      <w:highlight w:val="none"/>
                      <w:lang w:bidi="ar"/>
                    </w:rPr>
                  </w:pPr>
                </w:p>
              </w:tc>
              <w:tc>
                <w:tcPr>
                  <w:tcW w:w="1058" w:type="pct"/>
                  <w:vAlign w:val="center"/>
                </w:tcPr>
                <w:p w14:paraId="65AAEC50">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排放速率(kg/h)</w:t>
                  </w:r>
                </w:p>
              </w:tc>
              <w:tc>
                <w:tcPr>
                  <w:tcW w:w="472" w:type="pct"/>
                  <w:vAlign w:val="center"/>
                </w:tcPr>
                <w:p w14:paraId="02DBE373">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1.05</w:t>
                  </w:r>
                </w:p>
              </w:tc>
              <w:tc>
                <w:tcPr>
                  <w:tcW w:w="472" w:type="pct"/>
                  <w:vAlign w:val="center"/>
                </w:tcPr>
                <w:p w14:paraId="07223ED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1.36</w:t>
                  </w:r>
                </w:p>
              </w:tc>
              <w:tc>
                <w:tcPr>
                  <w:tcW w:w="475" w:type="pct"/>
                  <w:vAlign w:val="center"/>
                </w:tcPr>
                <w:p w14:paraId="0AD70691">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1.22</w:t>
                  </w:r>
                </w:p>
              </w:tc>
              <w:tc>
                <w:tcPr>
                  <w:tcW w:w="472" w:type="pct"/>
                  <w:vAlign w:val="center"/>
                </w:tcPr>
                <w:p w14:paraId="3E02C5C4">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1.27</w:t>
                  </w:r>
                </w:p>
              </w:tc>
              <w:tc>
                <w:tcPr>
                  <w:tcW w:w="472" w:type="pct"/>
                  <w:vAlign w:val="center"/>
                </w:tcPr>
                <w:p w14:paraId="5F6EDD7E">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1.13</w:t>
                  </w:r>
                </w:p>
              </w:tc>
              <w:tc>
                <w:tcPr>
                  <w:tcW w:w="478" w:type="pct"/>
                  <w:vAlign w:val="center"/>
                </w:tcPr>
                <w:p w14:paraId="5D4B0D6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1.48</w:t>
                  </w:r>
                </w:p>
              </w:tc>
              <w:tc>
                <w:tcPr>
                  <w:tcW w:w="887" w:type="dxa"/>
                  <w:vAlign w:val="center"/>
                </w:tcPr>
                <w:p w14:paraId="69281E41">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2.95</w:t>
                  </w:r>
                </w:p>
              </w:tc>
            </w:tr>
          </w:tbl>
          <w:p w14:paraId="08A4C83A">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表7-3 DA003有组织废气监测结果一览表</w:t>
            </w:r>
          </w:p>
          <w:tbl>
            <w:tblPr>
              <w:tblStyle w:val="134"/>
              <w:tblW w:w="4997" w:type="pct"/>
              <w:tblInd w:w="2" w:type="dxa"/>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101"/>
              <w:gridCol w:w="1922"/>
              <w:gridCol w:w="856"/>
              <w:gridCol w:w="856"/>
              <w:gridCol w:w="861"/>
              <w:gridCol w:w="856"/>
              <w:gridCol w:w="856"/>
              <w:gridCol w:w="871"/>
              <w:gridCol w:w="887"/>
            </w:tblGrid>
            <w:tr w14:paraId="10CCF571">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1B33EC76">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项目/采样点位</w:t>
                  </w:r>
                </w:p>
              </w:tc>
              <w:tc>
                <w:tcPr>
                  <w:tcW w:w="2843" w:type="pct"/>
                  <w:gridSpan w:val="6"/>
                  <w:vAlign w:val="center"/>
                </w:tcPr>
                <w:p w14:paraId="21B397E2">
                  <w:pPr>
                    <w:widowControl/>
                    <w:jc w:val="center"/>
                    <w:textAlignment w:val="top"/>
                    <w:rPr>
                      <w:rStyle w:val="108"/>
                      <w:rFonts w:hint="eastAsia"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bidi="ar"/>
                    </w:rPr>
                    <w:t>废气排放口 DA00</w:t>
                  </w:r>
                  <w:r>
                    <w:rPr>
                      <w:rStyle w:val="108"/>
                      <w:rFonts w:hint="eastAsia" w:ascii="Times New Roman" w:hAnsi="Times New Roman" w:eastAsia="宋体" w:cs="Times New Roman"/>
                      <w:color w:val="auto"/>
                      <w:sz w:val="21"/>
                      <w:szCs w:val="21"/>
                      <w:highlight w:val="none"/>
                      <w:lang w:val="en-US" w:eastAsia="zh-CN" w:bidi="ar"/>
                    </w:rPr>
                    <w:t>3</w:t>
                  </w:r>
                </w:p>
              </w:tc>
              <w:tc>
                <w:tcPr>
                  <w:tcW w:w="489" w:type="pct"/>
                  <w:vAlign w:val="center"/>
                </w:tcPr>
                <w:p w14:paraId="54D9C080">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标准限值</w:t>
                  </w:r>
                </w:p>
              </w:tc>
            </w:tr>
            <w:tr w14:paraId="611FF6B7">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256C159B">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采样时间</w:t>
                  </w:r>
                </w:p>
              </w:tc>
              <w:tc>
                <w:tcPr>
                  <w:tcW w:w="1419" w:type="pct"/>
                  <w:gridSpan w:val="3"/>
                  <w:vAlign w:val="center"/>
                </w:tcPr>
                <w:p w14:paraId="136CCF60">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bidi="ar"/>
                    </w:rPr>
                    <w:t>2026.</w:t>
                  </w:r>
                  <w:r>
                    <w:rPr>
                      <w:rStyle w:val="108"/>
                      <w:rFonts w:hint="default" w:ascii="Times New Roman" w:hAnsi="Times New Roman" w:eastAsia="宋体" w:cs="Times New Roman"/>
                      <w:color w:val="auto"/>
                      <w:sz w:val="21"/>
                      <w:szCs w:val="21"/>
                      <w:highlight w:val="none"/>
                      <w:lang w:val="en-US" w:eastAsia="zh-CN" w:bidi="ar"/>
                    </w:rPr>
                    <w:t>6.11</w:t>
                  </w:r>
                </w:p>
              </w:tc>
              <w:tc>
                <w:tcPr>
                  <w:tcW w:w="1424" w:type="pct"/>
                  <w:gridSpan w:val="3"/>
                  <w:vAlign w:val="center"/>
                </w:tcPr>
                <w:p w14:paraId="6BDA3DE1">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bidi="ar"/>
                    </w:rPr>
                    <w:t>2026.</w:t>
                  </w:r>
                  <w:r>
                    <w:rPr>
                      <w:rStyle w:val="108"/>
                      <w:rFonts w:hint="default" w:ascii="Times New Roman" w:hAnsi="Times New Roman" w:eastAsia="宋体" w:cs="Times New Roman"/>
                      <w:color w:val="auto"/>
                      <w:sz w:val="21"/>
                      <w:szCs w:val="21"/>
                      <w:highlight w:val="none"/>
                      <w:lang w:val="en-US" w:eastAsia="zh-CN" w:bidi="ar"/>
                    </w:rPr>
                    <w:t>6.12</w:t>
                  </w:r>
                </w:p>
              </w:tc>
              <w:tc>
                <w:tcPr>
                  <w:tcW w:w="489" w:type="pct"/>
                  <w:vAlign w:val="center"/>
                </w:tcPr>
                <w:p w14:paraId="3A17945B">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r w14:paraId="7622141E">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3FB2FFD6">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烟囱高度</w:t>
                  </w:r>
                </w:p>
              </w:tc>
              <w:tc>
                <w:tcPr>
                  <w:tcW w:w="2843" w:type="pct"/>
                  <w:gridSpan w:val="6"/>
                  <w:vAlign w:val="center"/>
                </w:tcPr>
                <w:p w14:paraId="78C895A1">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val="en-US" w:eastAsia="zh-CN" w:bidi="ar"/>
                    </w:rPr>
                    <w:t>20</w:t>
                  </w:r>
                  <w:r>
                    <w:rPr>
                      <w:rStyle w:val="108"/>
                      <w:rFonts w:hint="default" w:ascii="Times New Roman" w:hAnsi="Times New Roman" w:eastAsia="宋体" w:cs="Times New Roman"/>
                      <w:color w:val="auto"/>
                      <w:sz w:val="21"/>
                      <w:szCs w:val="21"/>
                      <w:highlight w:val="none"/>
                      <w:lang w:bidi="ar"/>
                    </w:rPr>
                    <w:t>m</w:t>
                  </w:r>
                </w:p>
              </w:tc>
              <w:tc>
                <w:tcPr>
                  <w:tcW w:w="489" w:type="pct"/>
                  <w:vAlign w:val="center"/>
                </w:tcPr>
                <w:p w14:paraId="1EA74702">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r w14:paraId="04CD1864">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67" w:type="pct"/>
                  <w:gridSpan w:val="2"/>
                  <w:vAlign w:val="center"/>
                </w:tcPr>
                <w:p w14:paraId="6FEC6EBC">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检测频次</w:t>
                  </w:r>
                </w:p>
              </w:tc>
              <w:tc>
                <w:tcPr>
                  <w:tcW w:w="472" w:type="pct"/>
                  <w:vAlign w:val="center"/>
                </w:tcPr>
                <w:p w14:paraId="13C250C9">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第一次</w:t>
                  </w:r>
                </w:p>
              </w:tc>
              <w:tc>
                <w:tcPr>
                  <w:tcW w:w="472" w:type="pct"/>
                  <w:vAlign w:val="center"/>
                </w:tcPr>
                <w:p w14:paraId="47487677">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第二次</w:t>
                  </w:r>
                </w:p>
              </w:tc>
              <w:tc>
                <w:tcPr>
                  <w:tcW w:w="474" w:type="pct"/>
                  <w:vAlign w:val="center"/>
                </w:tcPr>
                <w:p w14:paraId="32674B5C">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第三次</w:t>
                  </w:r>
                </w:p>
              </w:tc>
              <w:tc>
                <w:tcPr>
                  <w:tcW w:w="472" w:type="pct"/>
                  <w:vAlign w:val="center"/>
                </w:tcPr>
                <w:p w14:paraId="78603D36">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第一次</w:t>
                  </w:r>
                </w:p>
              </w:tc>
              <w:tc>
                <w:tcPr>
                  <w:tcW w:w="472" w:type="pct"/>
                  <w:vAlign w:val="center"/>
                </w:tcPr>
                <w:p w14:paraId="7FB1F92C">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第二次</w:t>
                  </w:r>
                </w:p>
              </w:tc>
              <w:tc>
                <w:tcPr>
                  <w:tcW w:w="480" w:type="pct"/>
                  <w:vAlign w:val="center"/>
                </w:tcPr>
                <w:p w14:paraId="0F4CD9F9">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第三次</w:t>
                  </w:r>
                </w:p>
              </w:tc>
              <w:tc>
                <w:tcPr>
                  <w:tcW w:w="489" w:type="pct"/>
                  <w:vAlign w:val="center"/>
                </w:tcPr>
                <w:p w14:paraId="0F4FA9D1">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r w14:paraId="40515996">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7" w:type="pct"/>
                  <w:tcBorders>
                    <w:top w:val="single" w:color="auto" w:sz="4" w:space="0"/>
                    <w:bottom w:val="single" w:color="auto" w:sz="4" w:space="0"/>
                    <w:right w:val="single" w:color="auto" w:sz="4" w:space="0"/>
                  </w:tcBorders>
                  <w:vAlign w:val="center"/>
                </w:tcPr>
                <w:p w14:paraId="270AF01B">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烟气参数</w:t>
                  </w:r>
                </w:p>
              </w:tc>
              <w:tc>
                <w:tcPr>
                  <w:tcW w:w="1059" w:type="pct"/>
                  <w:tcBorders>
                    <w:left w:val="single" w:color="auto" w:sz="4" w:space="0"/>
                  </w:tcBorders>
                  <w:vAlign w:val="center"/>
                </w:tcPr>
                <w:p w14:paraId="7C681EB0">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烟气流量(</w:t>
                  </w:r>
                  <w:r>
                    <w:rPr>
                      <w:rStyle w:val="108"/>
                      <w:rFonts w:hint="default" w:ascii="Times New Roman" w:hAnsi="Times New Roman" w:cs="Times New Roman"/>
                      <w:color w:val="auto"/>
                      <w:sz w:val="21"/>
                      <w:szCs w:val="21"/>
                      <w:highlight w:val="none"/>
                      <w:lang w:bidi="ar"/>
                    </w:rPr>
                    <w:t>m</w:t>
                  </w:r>
                  <w:r>
                    <w:rPr>
                      <w:rStyle w:val="108"/>
                      <w:rFonts w:hint="default" w:ascii="Times New Roman" w:hAnsi="Times New Roman" w:cs="Times New Roman"/>
                      <w:color w:val="auto"/>
                      <w:sz w:val="21"/>
                      <w:szCs w:val="21"/>
                      <w:highlight w:val="none"/>
                      <w:vertAlign w:val="superscript"/>
                      <w:lang w:bidi="ar"/>
                    </w:rPr>
                    <w:t>3</w:t>
                  </w:r>
                  <w:r>
                    <w:rPr>
                      <w:rStyle w:val="108"/>
                      <w:rFonts w:hint="default" w:ascii="Times New Roman" w:hAnsi="Times New Roman" w:eastAsia="宋体" w:cs="Times New Roman"/>
                      <w:color w:val="auto"/>
                      <w:sz w:val="21"/>
                      <w:szCs w:val="21"/>
                      <w:highlight w:val="none"/>
                      <w:lang w:bidi="ar"/>
                    </w:rPr>
                    <w:t>/h)</w:t>
                  </w:r>
                </w:p>
              </w:tc>
              <w:tc>
                <w:tcPr>
                  <w:tcW w:w="472" w:type="pct"/>
                  <w:vAlign w:val="center"/>
                </w:tcPr>
                <w:p w14:paraId="05207CDB">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13102</w:t>
                  </w:r>
                </w:p>
              </w:tc>
              <w:tc>
                <w:tcPr>
                  <w:tcW w:w="472" w:type="pct"/>
                  <w:vAlign w:val="center"/>
                </w:tcPr>
                <w:p w14:paraId="35E5CB3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12861</w:t>
                  </w:r>
                </w:p>
              </w:tc>
              <w:tc>
                <w:tcPr>
                  <w:tcW w:w="474" w:type="pct"/>
                  <w:vAlign w:val="center"/>
                </w:tcPr>
                <w:p w14:paraId="3FA4CC5D">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13192</w:t>
                  </w:r>
                </w:p>
              </w:tc>
              <w:tc>
                <w:tcPr>
                  <w:tcW w:w="472" w:type="pct"/>
                  <w:vAlign w:val="center"/>
                </w:tcPr>
                <w:p w14:paraId="287DE6CC">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12887</w:t>
                  </w:r>
                </w:p>
              </w:tc>
              <w:tc>
                <w:tcPr>
                  <w:tcW w:w="472" w:type="pct"/>
                  <w:vAlign w:val="center"/>
                </w:tcPr>
                <w:p w14:paraId="20D86EDA">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13102</w:t>
                  </w:r>
                </w:p>
              </w:tc>
              <w:tc>
                <w:tcPr>
                  <w:tcW w:w="480" w:type="pct"/>
                  <w:vAlign w:val="center"/>
                </w:tcPr>
                <w:p w14:paraId="464F0876">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12965</w:t>
                  </w:r>
                </w:p>
              </w:tc>
              <w:tc>
                <w:tcPr>
                  <w:tcW w:w="489" w:type="pct"/>
                  <w:vAlign w:val="center"/>
                </w:tcPr>
                <w:p w14:paraId="360D701E">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r w14:paraId="4F23C0AE">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7" w:type="pct"/>
                  <w:vMerge w:val="restart"/>
                  <w:tcBorders>
                    <w:top w:val="single" w:color="auto" w:sz="4" w:space="0"/>
                    <w:bottom w:val="single" w:color="auto" w:sz="4" w:space="0"/>
                  </w:tcBorders>
                  <w:vAlign w:val="center"/>
                </w:tcPr>
                <w:p w14:paraId="2457E50D">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颗粒物</w:t>
                  </w:r>
                </w:p>
              </w:tc>
              <w:tc>
                <w:tcPr>
                  <w:tcW w:w="1059" w:type="pct"/>
                  <w:vAlign w:val="center"/>
                </w:tcPr>
                <w:p w14:paraId="4132F851">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实测浓度（mg/</w:t>
                  </w:r>
                  <w:r>
                    <w:rPr>
                      <w:rStyle w:val="108"/>
                      <w:rFonts w:hint="default" w:ascii="Times New Roman" w:hAnsi="Times New Roman" w:cs="Times New Roman"/>
                      <w:color w:val="auto"/>
                      <w:sz w:val="21"/>
                      <w:szCs w:val="21"/>
                      <w:highlight w:val="none"/>
                      <w:lang w:bidi="ar"/>
                    </w:rPr>
                    <w:t>m</w:t>
                  </w:r>
                  <w:r>
                    <w:rPr>
                      <w:rStyle w:val="108"/>
                      <w:rFonts w:hint="default" w:ascii="Times New Roman" w:hAnsi="Times New Roman" w:cs="Times New Roman"/>
                      <w:color w:val="auto"/>
                      <w:sz w:val="21"/>
                      <w:szCs w:val="21"/>
                      <w:highlight w:val="none"/>
                      <w:vertAlign w:val="superscript"/>
                      <w:lang w:bidi="ar"/>
                    </w:rPr>
                    <w:t>3</w:t>
                  </w:r>
                  <w:r>
                    <w:rPr>
                      <w:rStyle w:val="108"/>
                      <w:rFonts w:hint="default" w:ascii="Times New Roman" w:hAnsi="Times New Roman" w:eastAsia="宋体" w:cs="Times New Roman"/>
                      <w:color w:val="auto"/>
                      <w:sz w:val="21"/>
                      <w:szCs w:val="21"/>
                      <w:highlight w:val="none"/>
                      <w:lang w:bidi="ar"/>
                    </w:rPr>
                    <w:t>）</w:t>
                  </w:r>
                </w:p>
              </w:tc>
              <w:tc>
                <w:tcPr>
                  <w:tcW w:w="472" w:type="pct"/>
                  <w:vAlign w:val="center"/>
                </w:tcPr>
                <w:p w14:paraId="4DDE3EB8">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25</w:t>
                  </w:r>
                </w:p>
              </w:tc>
              <w:tc>
                <w:tcPr>
                  <w:tcW w:w="472" w:type="pct"/>
                  <w:vAlign w:val="center"/>
                </w:tcPr>
                <w:p w14:paraId="7E6EFF01">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21</w:t>
                  </w:r>
                </w:p>
              </w:tc>
              <w:tc>
                <w:tcPr>
                  <w:tcW w:w="474" w:type="pct"/>
                  <w:vAlign w:val="center"/>
                </w:tcPr>
                <w:p w14:paraId="148B6DB9">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28</w:t>
                  </w:r>
                </w:p>
              </w:tc>
              <w:tc>
                <w:tcPr>
                  <w:tcW w:w="472" w:type="pct"/>
                  <w:vAlign w:val="center"/>
                </w:tcPr>
                <w:p w14:paraId="76FD2235">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22</w:t>
                  </w:r>
                </w:p>
              </w:tc>
              <w:tc>
                <w:tcPr>
                  <w:tcW w:w="472" w:type="pct"/>
                  <w:vAlign w:val="center"/>
                </w:tcPr>
                <w:p w14:paraId="39FD24B4">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27</w:t>
                  </w:r>
                </w:p>
              </w:tc>
              <w:tc>
                <w:tcPr>
                  <w:tcW w:w="480" w:type="pct"/>
                  <w:vAlign w:val="center"/>
                </w:tcPr>
                <w:p w14:paraId="372149D3">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31</w:t>
                  </w:r>
                </w:p>
              </w:tc>
              <w:tc>
                <w:tcPr>
                  <w:tcW w:w="887" w:type="dxa"/>
                  <w:vAlign w:val="center"/>
                </w:tcPr>
                <w:p w14:paraId="29F35F1B">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120</w:t>
                  </w:r>
                </w:p>
              </w:tc>
            </w:tr>
            <w:tr w14:paraId="2ED52A3A">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607" w:type="pct"/>
                  <w:vMerge w:val="continue"/>
                  <w:tcBorders>
                    <w:top w:val="single" w:color="auto" w:sz="4" w:space="0"/>
                    <w:bottom w:val="single" w:color="auto" w:sz="4" w:space="0"/>
                  </w:tcBorders>
                  <w:vAlign w:val="center"/>
                </w:tcPr>
                <w:p w14:paraId="6DE5B181">
                  <w:pPr>
                    <w:widowControl/>
                    <w:jc w:val="center"/>
                    <w:textAlignment w:val="top"/>
                    <w:rPr>
                      <w:rStyle w:val="108"/>
                      <w:rFonts w:hint="default" w:ascii="Times New Roman" w:hAnsi="Times New Roman" w:eastAsia="宋体" w:cs="Times New Roman"/>
                      <w:color w:val="auto"/>
                      <w:sz w:val="21"/>
                      <w:szCs w:val="21"/>
                      <w:highlight w:val="none"/>
                      <w:lang w:bidi="ar"/>
                    </w:rPr>
                  </w:pPr>
                </w:p>
              </w:tc>
              <w:tc>
                <w:tcPr>
                  <w:tcW w:w="1059" w:type="pct"/>
                  <w:vAlign w:val="center"/>
                </w:tcPr>
                <w:p w14:paraId="3F46F85A">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排放速率(kg/h)</w:t>
                  </w:r>
                </w:p>
              </w:tc>
              <w:tc>
                <w:tcPr>
                  <w:tcW w:w="472" w:type="pct"/>
                  <w:vAlign w:val="center"/>
                </w:tcPr>
                <w:p w14:paraId="026A0ABE">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0.328</w:t>
                  </w:r>
                </w:p>
              </w:tc>
              <w:tc>
                <w:tcPr>
                  <w:tcW w:w="472" w:type="pct"/>
                  <w:vAlign w:val="center"/>
                </w:tcPr>
                <w:p w14:paraId="11BFF275">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0.270</w:t>
                  </w:r>
                </w:p>
              </w:tc>
              <w:tc>
                <w:tcPr>
                  <w:tcW w:w="474" w:type="pct"/>
                  <w:vAlign w:val="center"/>
                </w:tcPr>
                <w:p w14:paraId="1B4BCABF">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0.369</w:t>
                  </w:r>
                </w:p>
              </w:tc>
              <w:tc>
                <w:tcPr>
                  <w:tcW w:w="472" w:type="pct"/>
                  <w:vAlign w:val="center"/>
                </w:tcPr>
                <w:p w14:paraId="7BA555C6">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0.284</w:t>
                  </w:r>
                </w:p>
              </w:tc>
              <w:tc>
                <w:tcPr>
                  <w:tcW w:w="472" w:type="pct"/>
                  <w:vAlign w:val="center"/>
                </w:tcPr>
                <w:p w14:paraId="096A9BF6">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0.354</w:t>
                  </w:r>
                </w:p>
              </w:tc>
              <w:tc>
                <w:tcPr>
                  <w:tcW w:w="480" w:type="pct"/>
                  <w:vAlign w:val="center"/>
                </w:tcPr>
                <w:p w14:paraId="63897FF9">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0.402</w:t>
                  </w:r>
                </w:p>
              </w:tc>
              <w:tc>
                <w:tcPr>
                  <w:tcW w:w="887" w:type="dxa"/>
                  <w:vAlign w:val="center"/>
                </w:tcPr>
                <w:p w14:paraId="726DAB26">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2.95</w:t>
                  </w:r>
                </w:p>
              </w:tc>
            </w:tr>
            <w:tr w14:paraId="17088A5D">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01" w:type="dxa"/>
                  <w:vMerge w:val="restart"/>
                  <w:tcBorders>
                    <w:top w:val="single" w:color="auto" w:sz="4" w:space="0"/>
                  </w:tcBorders>
                  <w:vAlign w:val="center"/>
                </w:tcPr>
                <w:p w14:paraId="32AAF79E">
                  <w:pPr>
                    <w:widowControl/>
                    <w:jc w:val="center"/>
                    <w:textAlignment w:val="top"/>
                    <w:rPr>
                      <w:rStyle w:val="108"/>
                      <w:rFonts w:hint="eastAsia" w:ascii="Times New Roman" w:hAnsi="Times New Roman" w:eastAsia="宋体" w:cs="Times New Roman"/>
                      <w:color w:val="auto"/>
                      <w:sz w:val="21"/>
                      <w:szCs w:val="21"/>
                      <w:highlight w:val="none"/>
                      <w:lang w:eastAsia="zh-CN" w:bidi="ar"/>
                    </w:rPr>
                  </w:pPr>
                  <w:r>
                    <w:rPr>
                      <w:rStyle w:val="108"/>
                      <w:rFonts w:hint="eastAsia" w:ascii="Times New Roman" w:hAnsi="Times New Roman" w:eastAsia="宋体" w:cs="Times New Roman"/>
                      <w:color w:val="auto"/>
                      <w:sz w:val="21"/>
                      <w:szCs w:val="21"/>
                      <w:highlight w:val="none"/>
                      <w:lang w:eastAsia="zh-CN" w:bidi="ar"/>
                    </w:rPr>
                    <w:t>非甲烷总烃</w:t>
                  </w:r>
                </w:p>
              </w:tc>
              <w:tc>
                <w:tcPr>
                  <w:tcW w:w="1922" w:type="dxa"/>
                  <w:vAlign w:val="center"/>
                </w:tcPr>
                <w:p w14:paraId="7E8AD359">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实测浓度（mg/</w:t>
                  </w:r>
                  <w:r>
                    <w:rPr>
                      <w:rStyle w:val="108"/>
                      <w:rFonts w:hint="default" w:ascii="Times New Roman" w:hAnsi="Times New Roman" w:cs="Times New Roman"/>
                      <w:color w:val="auto"/>
                      <w:sz w:val="21"/>
                      <w:szCs w:val="21"/>
                      <w:highlight w:val="none"/>
                      <w:lang w:bidi="ar"/>
                    </w:rPr>
                    <w:t>m</w:t>
                  </w:r>
                  <w:r>
                    <w:rPr>
                      <w:rStyle w:val="108"/>
                      <w:rFonts w:hint="default" w:ascii="Times New Roman" w:hAnsi="Times New Roman" w:cs="Times New Roman"/>
                      <w:color w:val="auto"/>
                      <w:sz w:val="21"/>
                      <w:szCs w:val="21"/>
                      <w:highlight w:val="none"/>
                      <w:vertAlign w:val="superscript"/>
                      <w:lang w:bidi="ar"/>
                    </w:rPr>
                    <w:t>3</w:t>
                  </w:r>
                  <w:r>
                    <w:rPr>
                      <w:rStyle w:val="108"/>
                      <w:rFonts w:hint="default" w:ascii="Times New Roman" w:hAnsi="Times New Roman" w:eastAsia="宋体" w:cs="Times New Roman"/>
                      <w:color w:val="auto"/>
                      <w:sz w:val="21"/>
                      <w:szCs w:val="21"/>
                      <w:highlight w:val="none"/>
                      <w:lang w:bidi="ar"/>
                    </w:rPr>
                    <w:t>）</w:t>
                  </w:r>
                </w:p>
              </w:tc>
              <w:tc>
                <w:tcPr>
                  <w:tcW w:w="472" w:type="pct"/>
                  <w:vAlign w:val="center"/>
                </w:tcPr>
                <w:p w14:paraId="46B618DE">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4.61</w:t>
                  </w:r>
                </w:p>
              </w:tc>
              <w:tc>
                <w:tcPr>
                  <w:tcW w:w="472" w:type="pct"/>
                  <w:vAlign w:val="center"/>
                </w:tcPr>
                <w:p w14:paraId="65D7B945">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3.46</w:t>
                  </w:r>
                </w:p>
              </w:tc>
              <w:tc>
                <w:tcPr>
                  <w:tcW w:w="474" w:type="pct"/>
                  <w:vAlign w:val="center"/>
                </w:tcPr>
                <w:p w14:paraId="25C2F43D">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5.01</w:t>
                  </w:r>
                </w:p>
              </w:tc>
              <w:tc>
                <w:tcPr>
                  <w:tcW w:w="472" w:type="pct"/>
                  <w:vAlign w:val="center"/>
                </w:tcPr>
                <w:p w14:paraId="266D1E60">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4.13</w:t>
                  </w:r>
                </w:p>
              </w:tc>
              <w:tc>
                <w:tcPr>
                  <w:tcW w:w="472" w:type="pct"/>
                  <w:vAlign w:val="center"/>
                </w:tcPr>
                <w:p w14:paraId="1014D0D9">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5.38</w:t>
                  </w:r>
                </w:p>
              </w:tc>
              <w:tc>
                <w:tcPr>
                  <w:tcW w:w="480" w:type="pct"/>
                  <w:vAlign w:val="center"/>
                </w:tcPr>
                <w:p w14:paraId="42AA2C5D">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2.91</w:t>
                  </w:r>
                </w:p>
              </w:tc>
              <w:tc>
                <w:tcPr>
                  <w:tcW w:w="489" w:type="pct"/>
                  <w:vAlign w:val="center"/>
                </w:tcPr>
                <w:p w14:paraId="6F8ECFEE">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80</w:t>
                  </w:r>
                </w:p>
              </w:tc>
            </w:tr>
            <w:tr w14:paraId="5049E905">
              <w:tblPrEx>
                <w:tblBorders>
                  <w:top w:val="single" w:color="000000" w:sz="2" w:space="0"/>
                  <w:left w:val="none" w:color="auto" w:sz="0" w:space="0"/>
                  <w:bottom w:val="single" w:color="000000" w:sz="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01" w:type="dxa"/>
                  <w:vMerge w:val="continue"/>
                  <w:tcBorders>
                    <w:bottom w:val="single" w:color="auto" w:sz="4" w:space="0"/>
                  </w:tcBorders>
                  <w:vAlign w:val="center"/>
                </w:tcPr>
                <w:p w14:paraId="3D1C6871">
                  <w:pPr>
                    <w:widowControl/>
                    <w:jc w:val="center"/>
                    <w:textAlignment w:val="top"/>
                    <w:rPr>
                      <w:rStyle w:val="108"/>
                      <w:rFonts w:hint="default" w:ascii="Times New Roman" w:hAnsi="Times New Roman" w:eastAsia="宋体" w:cs="Times New Roman"/>
                      <w:color w:val="auto"/>
                      <w:sz w:val="21"/>
                      <w:szCs w:val="21"/>
                      <w:highlight w:val="none"/>
                      <w:lang w:bidi="ar"/>
                    </w:rPr>
                  </w:pPr>
                </w:p>
              </w:tc>
              <w:tc>
                <w:tcPr>
                  <w:tcW w:w="1922" w:type="dxa"/>
                  <w:vAlign w:val="center"/>
                </w:tcPr>
                <w:p w14:paraId="2A8BE9F8">
                  <w:pPr>
                    <w:widowControl/>
                    <w:jc w:val="center"/>
                    <w:textAlignment w:val="top"/>
                    <w:rPr>
                      <w:rStyle w:val="108"/>
                      <w:rFonts w:hint="default" w:ascii="Times New Roman" w:hAnsi="Times New Roman" w:eastAsia="宋体" w:cs="Times New Roman"/>
                      <w:color w:val="auto"/>
                      <w:sz w:val="21"/>
                      <w:szCs w:val="21"/>
                      <w:highlight w:val="none"/>
                      <w:lang w:bidi="ar"/>
                    </w:rPr>
                  </w:pPr>
                  <w:r>
                    <w:rPr>
                      <w:rStyle w:val="108"/>
                      <w:rFonts w:hint="default" w:ascii="Times New Roman" w:hAnsi="Times New Roman" w:eastAsia="宋体" w:cs="Times New Roman"/>
                      <w:color w:val="auto"/>
                      <w:sz w:val="21"/>
                      <w:szCs w:val="21"/>
                      <w:highlight w:val="none"/>
                      <w:lang w:bidi="ar"/>
                    </w:rPr>
                    <w:t>排放速率(kg/h)</w:t>
                  </w:r>
                </w:p>
              </w:tc>
              <w:tc>
                <w:tcPr>
                  <w:tcW w:w="472" w:type="pct"/>
                  <w:vAlign w:val="center"/>
                </w:tcPr>
                <w:p w14:paraId="7963E9EF">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0.0604</w:t>
                  </w:r>
                </w:p>
              </w:tc>
              <w:tc>
                <w:tcPr>
                  <w:tcW w:w="472" w:type="pct"/>
                  <w:vAlign w:val="center"/>
                </w:tcPr>
                <w:p w14:paraId="5DE2E55A">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0.0445</w:t>
                  </w:r>
                </w:p>
              </w:tc>
              <w:tc>
                <w:tcPr>
                  <w:tcW w:w="474" w:type="pct"/>
                  <w:vAlign w:val="center"/>
                </w:tcPr>
                <w:p w14:paraId="64853B33">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0.0661</w:t>
                  </w:r>
                </w:p>
              </w:tc>
              <w:tc>
                <w:tcPr>
                  <w:tcW w:w="472" w:type="pct"/>
                  <w:vAlign w:val="center"/>
                </w:tcPr>
                <w:p w14:paraId="29EAFF14">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0.0532</w:t>
                  </w:r>
                </w:p>
              </w:tc>
              <w:tc>
                <w:tcPr>
                  <w:tcW w:w="472" w:type="pct"/>
                  <w:vAlign w:val="center"/>
                </w:tcPr>
                <w:p w14:paraId="2D204080">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0.0705</w:t>
                  </w:r>
                </w:p>
              </w:tc>
              <w:tc>
                <w:tcPr>
                  <w:tcW w:w="480" w:type="pct"/>
                  <w:vAlign w:val="center"/>
                </w:tcPr>
                <w:p w14:paraId="34C23DC1">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eastAsia" w:ascii="Times New Roman" w:hAnsi="Times New Roman" w:eastAsia="宋体" w:cs="Times New Roman"/>
                      <w:color w:val="auto"/>
                      <w:sz w:val="21"/>
                      <w:szCs w:val="21"/>
                      <w:highlight w:val="none"/>
                      <w:lang w:val="en-US" w:eastAsia="zh-CN" w:bidi="ar"/>
                    </w:rPr>
                    <w:t>0.0377</w:t>
                  </w:r>
                </w:p>
              </w:tc>
              <w:tc>
                <w:tcPr>
                  <w:tcW w:w="489" w:type="pct"/>
                  <w:vAlign w:val="center"/>
                </w:tcPr>
                <w:p w14:paraId="5F6C37E5">
                  <w:pPr>
                    <w:widowControl/>
                    <w:jc w:val="center"/>
                    <w:textAlignment w:val="top"/>
                    <w:rPr>
                      <w:rStyle w:val="108"/>
                      <w:rFonts w:hint="default" w:ascii="Times New Roman" w:hAnsi="Times New Roman" w:eastAsia="宋体" w:cs="Times New Roman"/>
                      <w:color w:val="auto"/>
                      <w:sz w:val="21"/>
                      <w:szCs w:val="21"/>
                      <w:highlight w:val="none"/>
                      <w:lang w:val="en-US" w:eastAsia="zh-CN" w:bidi="ar"/>
                    </w:rPr>
                  </w:pPr>
                  <w:r>
                    <w:rPr>
                      <w:rStyle w:val="108"/>
                      <w:rFonts w:hint="default" w:ascii="Times New Roman" w:hAnsi="Times New Roman" w:eastAsia="宋体" w:cs="Times New Roman"/>
                      <w:color w:val="auto"/>
                      <w:sz w:val="21"/>
                      <w:szCs w:val="21"/>
                      <w:highlight w:val="none"/>
                      <w:lang w:val="en-US" w:eastAsia="zh-CN" w:bidi="ar"/>
                    </w:rPr>
                    <w:t>/</w:t>
                  </w:r>
                </w:p>
              </w:tc>
            </w:tr>
          </w:tbl>
          <w:p w14:paraId="1B3C7807">
            <w:pPr>
              <w:keepNext w:val="0"/>
              <w:keepLines w:val="0"/>
              <w:pageBreakBefore w:val="0"/>
              <w:widowControl/>
              <w:kinsoku/>
              <w:wordWrap/>
              <w:overflowPunct/>
              <w:topLinePunct w:val="0"/>
              <w:autoSpaceDE/>
              <w:autoSpaceDN/>
              <w:bidi w:val="0"/>
              <w:adjustRightInd w:val="0"/>
              <w:snapToGrid w:val="0"/>
              <w:spacing w:after="0" w:line="360" w:lineRule="auto"/>
              <w:ind w:right="0" w:rightChars="0" w:firstLine="480" w:firstLineChars="200"/>
              <w:jc w:val="both"/>
              <w:textAlignment w:val="auto"/>
              <w:outlineLvl w:val="9"/>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本次验收监测结果表明，排气筒中</w:t>
            </w:r>
            <w:r>
              <w:rPr>
                <w:rFonts w:hint="eastAsia"/>
                <w:color w:val="auto"/>
                <w:sz w:val="24"/>
                <w:szCs w:val="24"/>
              </w:rPr>
              <w:t>颗粒物排放</w:t>
            </w:r>
            <w:r>
              <w:rPr>
                <w:rFonts w:hint="eastAsia"/>
                <w:color w:val="auto"/>
                <w:sz w:val="24"/>
                <w:szCs w:val="24"/>
                <w:lang w:eastAsia="zh-CN"/>
              </w:rPr>
              <w:t>可满足</w:t>
            </w:r>
            <w:r>
              <w:rPr>
                <w:rFonts w:hint="eastAsia"/>
                <w:color w:val="auto"/>
                <w:sz w:val="24"/>
                <w:szCs w:val="24"/>
              </w:rPr>
              <w:t>《大气污染物综合排放标准》（GB16297-</w:t>
            </w:r>
            <w:r>
              <w:rPr>
                <w:rFonts w:hint="eastAsia"/>
                <w:color w:val="auto"/>
                <w:sz w:val="24"/>
                <w:szCs w:val="24"/>
                <w:lang w:eastAsia="zh-CN"/>
              </w:rPr>
              <w:t>1996</w:t>
            </w:r>
            <w:r>
              <w:rPr>
                <w:rFonts w:hint="eastAsia"/>
                <w:color w:val="auto"/>
                <w:sz w:val="24"/>
                <w:szCs w:val="24"/>
              </w:rPr>
              <w:t>）表2中二级标准</w:t>
            </w:r>
            <w:r>
              <w:rPr>
                <w:rFonts w:hint="eastAsia"/>
                <w:color w:val="auto"/>
                <w:sz w:val="24"/>
                <w:szCs w:val="24"/>
                <w:lang w:eastAsia="zh-CN"/>
              </w:rPr>
              <w:t>要求</w:t>
            </w:r>
            <w:r>
              <w:rPr>
                <w:rFonts w:hint="eastAsia"/>
                <w:color w:val="auto"/>
                <w:sz w:val="24"/>
                <w:szCs w:val="24"/>
              </w:rPr>
              <w:t>；非甲烷总烃排放</w:t>
            </w:r>
            <w:r>
              <w:rPr>
                <w:rFonts w:hint="eastAsia"/>
                <w:color w:val="auto"/>
                <w:sz w:val="24"/>
                <w:szCs w:val="24"/>
                <w:lang w:eastAsia="zh-CN"/>
              </w:rPr>
              <w:t>可满足</w:t>
            </w:r>
            <w:r>
              <w:rPr>
                <w:rFonts w:hint="eastAsia"/>
                <w:color w:val="auto"/>
                <w:sz w:val="24"/>
                <w:szCs w:val="24"/>
              </w:rPr>
              <w:t>《挥发性有机物综合排放控制标准（试行）》（DB36/2186-2025）表1中限值要求</w:t>
            </w:r>
            <w:r>
              <w:rPr>
                <w:rFonts w:hint="eastAsia"/>
                <w:color w:val="auto"/>
                <w:sz w:val="24"/>
                <w:szCs w:val="24"/>
                <w:lang w:eastAsia="zh-CN"/>
              </w:rPr>
              <w:t>。</w:t>
            </w:r>
          </w:p>
          <w:p w14:paraId="4DD3D115">
            <w:pPr>
              <w:spacing w:line="360" w:lineRule="auto"/>
              <w:rPr>
                <w:b/>
                <w:color w:val="auto"/>
                <w:sz w:val="24"/>
                <w:szCs w:val="24"/>
              </w:rPr>
            </w:pPr>
            <w:r>
              <w:rPr>
                <w:b/>
                <w:color w:val="auto"/>
                <w:sz w:val="24"/>
                <w:szCs w:val="24"/>
              </w:rPr>
              <w:t>7.2.2 无组织废气排放监测结果及分析</w:t>
            </w:r>
          </w:p>
          <w:p w14:paraId="7F3F552C">
            <w:pPr>
              <w:adjustRightInd w:val="0"/>
              <w:snapToGrid w:val="0"/>
              <w:spacing w:line="360" w:lineRule="auto"/>
              <w:ind w:firstLine="480" w:firstLineChars="200"/>
              <w:rPr>
                <w:color w:val="auto"/>
                <w:sz w:val="24"/>
                <w:szCs w:val="24"/>
              </w:rPr>
            </w:pPr>
            <w:r>
              <w:rPr>
                <w:color w:val="auto"/>
                <w:sz w:val="24"/>
                <w:szCs w:val="24"/>
              </w:rPr>
              <w:t>项目</w:t>
            </w:r>
            <w:r>
              <w:rPr>
                <w:rFonts w:hint="eastAsia"/>
                <w:color w:val="auto"/>
                <w:sz w:val="24"/>
                <w:szCs w:val="24"/>
                <w:lang w:eastAsia="zh-CN"/>
              </w:rPr>
              <w:t>厂界</w:t>
            </w:r>
            <w:r>
              <w:rPr>
                <w:color w:val="auto"/>
                <w:sz w:val="24"/>
                <w:szCs w:val="24"/>
              </w:rPr>
              <w:t>无组织排放废气监测结果见下表。</w:t>
            </w:r>
          </w:p>
          <w:p w14:paraId="7C762593">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表7-4 厂界无组织废气监测结果一览表</w:t>
            </w:r>
          </w:p>
          <w:tbl>
            <w:tblPr>
              <w:tblStyle w:val="34"/>
              <w:tblW w:w="9071" w:type="dxa"/>
              <w:jc w:val="center"/>
              <w:tblBorders>
                <w:top w:val="none" w:color="auto" w:sz="4" w:space="0"/>
                <w:left w:val="none" w:color="auto" w:sz="0" w:space="0"/>
                <w:bottom w:val="none" w:color="auto" w:sz="4" w:space="0"/>
                <w:right w:val="none" w:color="auto" w:sz="0" w:space="0"/>
                <w:insideH w:val="none" w:color="auto" w:sz="4" w:space="0"/>
                <w:insideV w:val="none" w:color="auto" w:sz="4" w:space="0"/>
              </w:tblBorders>
              <w:tblLayout w:type="autofit"/>
              <w:tblCellMar>
                <w:top w:w="0" w:type="dxa"/>
                <w:left w:w="108" w:type="dxa"/>
                <w:bottom w:w="0" w:type="dxa"/>
                <w:right w:w="108" w:type="dxa"/>
              </w:tblCellMar>
            </w:tblPr>
            <w:tblGrid>
              <w:gridCol w:w="1517"/>
              <w:gridCol w:w="1635"/>
              <w:gridCol w:w="1804"/>
              <w:gridCol w:w="2101"/>
              <w:gridCol w:w="2014"/>
            </w:tblGrid>
            <w:tr w14:paraId="443D49B2">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634" w:hRule="exact"/>
                <w:jc w:val="center"/>
              </w:trPr>
              <w:tc>
                <w:tcPr>
                  <w:tcW w:w="2731" w:type="pct"/>
                  <w:gridSpan w:val="3"/>
                  <w:tcBorders>
                    <w:top w:val="single" w:color="000000" w:sz="2" w:space="0"/>
                    <w:bottom w:val="single" w:color="000000" w:sz="2" w:space="0"/>
                    <w:right w:val="single" w:color="000000" w:sz="2" w:space="0"/>
                  </w:tcBorders>
                  <w:tcMar>
                    <w:left w:w="0" w:type="dxa"/>
                    <w:right w:w="0" w:type="dxa"/>
                  </w:tcMar>
                  <w:vAlign w:val="center"/>
                </w:tcPr>
                <w:p w14:paraId="431A79B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采样点位、采样时间及检测频次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76ECA9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p w14:paraId="33B9445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78CE906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非甲烷总烃</w:t>
                  </w:r>
                </w:p>
                <w:p w14:paraId="0A62417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w:t>
                  </w:r>
                </w:p>
              </w:tc>
            </w:tr>
            <w:tr w14:paraId="4201C6C7">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297" w:hRule="exact"/>
                <w:jc w:val="center"/>
              </w:trPr>
              <w:tc>
                <w:tcPr>
                  <w:tcW w:w="836" w:type="pct"/>
                  <w:vMerge w:val="restart"/>
                  <w:tcBorders>
                    <w:top w:val="single" w:color="000000" w:sz="2" w:space="0"/>
                    <w:bottom w:val="single" w:color="000000" w:sz="2" w:space="0"/>
                    <w:right w:val="single" w:color="000000" w:sz="2" w:space="0"/>
                  </w:tcBorders>
                  <w:tcMar>
                    <w:left w:w="0" w:type="dxa"/>
                    <w:right w:w="0" w:type="dxa"/>
                  </w:tcMar>
                  <w:vAlign w:val="center"/>
                </w:tcPr>
                <w:p w14:paraId="1AF5AA1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厂界上风向检测点</w:t>
                  </w:r>
                  <w:r>
                    <w:rPr>
                      <w:rFonts w:hint="eastAsia" w:cs="Times New Roman"/>
                      <w:color w:val="auto"/>
                      <w:sz w:val="21"/>
                      <w:szCs w:val="21"/>
                      <w:highlight w:val="none"/>
                      <w:lang w:val="en-US" w:eastAsia="zh-CN"/>
                    </w:rPr>
                    <w:t>A1</w:t>
                  </w: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F6EC98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2026.6.11</w:t>
                  </w: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FFE409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797260F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0.171</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078C53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0.13</w:t>
                  </w:r>
                </w:p>
              </w:tc>
            </w:tr>
            <w:tr w14:paraId="0B31396F">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5EA435D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53A5F6D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62A88A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B5BFC7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0.169</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6F90CB0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0.25</w:t>
                  </w:r>
                </w:p>
              </w:tc>
            </w:tr>
            <w:tr w14:paraId="3276A08C">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5659095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7351DC3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F47489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185134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0.175</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19B8DE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0.19</w:t>
                  </w:r>
                </w:p>
              </w:tc>
            </w:tr>
            <w:tr w14:paraId="4E234C26">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04AE9C3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7E2E5B4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2026.</w:t>
                  </w:r>
                  <w:r>
                    <w:rPr>
                      <w:rFonts w:hint="eastAsia" w:eastAsia="宋体" w:cs="Times New Roman"/>
                      <w:color w:val="auto"/>
                      <w:sz w:val="21"/>
                      <w:szCs w:val="21"/>
                      <w:highlight w:val="none"/>
                      <w:lang w:val="en-US" w:eastAsia="zh-CN"/>
                    </w:rPr>
                    <w:t>6.12</w:t>
                  </w: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29431D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05C6F1E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0.169</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1D2A253E">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0.15</w:t>
                  </w:r>
                </w:p>
              </w:tc>
            </w:tr>
            <w:tr w14:paraId="242CD93F">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533E539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16C0E0E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2413A87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0413954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0.181</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6A84DB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0.31</w:t>
                  </w:r>
                </w:p>
              </w:tc>
            </w:tr>
            <w:tr w14:paraId="2D3F9FE6">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590653C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323E735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A5FEAC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230552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0.168</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31EA26C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0.28</w:t>
                  </w:r>
                </w:p>
              </w:tc>
            </w:tr>
            <w:tr w14:paraId="4168A437">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restart"/>
                  <w:tcBorders>
                    <w:top w:val="single" w:color="000000" w:sz="2" w:space="0"/>
                    <w:bottom w:val="single" w:color="000000" w:sz="2" w:space="0"/>
                    <w:right w:val="single" w:color="000000" w:sz="2" w:space="0"/>
                  </w:tcBorders>
                  <w:tcMar>
                    <w:left w:w="0" w:type="dxa"/>
                    <w:right w:w="0" w:type="dxa"/>
                  </w:tcMar>
                  <w:vAlign w:val="center"/>
                </w:tcPr>
                <w:p w14:paraId="0263F40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厂界下风向检测点</w:t>
                  </w:r>
                  <w:r>
                    <w:rPr>
                      <w:rFonts w:hint="eastAsia" w:cs="Times New Roman"/>
                      <w:color w:val="auto"/>
                      <w:sz w:val="21"/>
                      <w:szCs w:val="21"/>
                      <w:highlight w:val="none"/>
                      <w:lang w:val="en-US" w:eastAsia="zh-CN"/>
                    </w:rPr>
                    <w:t>A2</w:t>
                  </w: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FE3BEE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2026.6.11</w:t>
                  </w: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AD500E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3CC0E4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0.406</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09C988E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0.91</w:t>
                  </w:r>
                </w:p>
              </w:tc>
            </w:tr>
            <w:tr w14:paraId="0B6BA425">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46AD344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11CDF4A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E532F7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2C9CE4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0.351</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763D152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1.23</w:t>
                  </w:r>
                </w:p>
              </w:tc>
            </w:tr>
            <w:tr w14:paraId="5E9D2AA4">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6FED29B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5D1102B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25C10A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A37BCF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0.283</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0285B8B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1.05</w:t>
                  </w:r>
                </w:p>
              </w:tc>
            </w:tr>
            <w:tr w14:paraId="423EE4BA">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4AB9EEC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E42C69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2026.</w:t>
                  </w:r>
                  <w:r>
                    <w:rPr>
                      <w:rFonts w:hint="eastAsia" w:eastAsia="宋体" w:cs="Times New Roman"/>
                      <w:color w:val="auto"/>
                      <w:sz w:val="21"/>
                      <w:szCs w:val="21"/>
                      <w:highlight w:val="none"/>
                      <w:lang w:val="en-US" w:eastAsia="zh-CN"/>
                    </w:rPr>
                    <w:t>6.12</w:t>
                  </w: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02D5472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51464C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0.261</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3D28A71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1.03</w:t>
                  </w:r>
                </w:p>
              </w:tc>
            </w:tr>
            <w:tr w14:paraId="40C4CB74">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10673FE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5761F78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CB82EA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CDED03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0.405</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3996BCB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0.96</w:t>
                  </w:r>
                </w:p>
              </w:tc>
            </w:tr>
            <w:tr w14:paraId="6683FFE8">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129846E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162F677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AAE115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C02B9B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0.198</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1AA9045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1.21</w:t>
                  </w:r>
                </w:p>
              </w:tc>
            </w:tr>
            <w:tr w14:paraId="3BAD776B">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restart"/>
                  <w:tcBorders>
                    <w:top w:val="single" w:color="000000" w:sz="2" w:space="0"/>
                    <w:bottom w:val="single" w:color="000000" w:sz="2" w:space="0"/>
                    <w:right w:val="single" w:color="000000" w:sz="2" w:space="0"/>
                  </w:tcBorders>
                  <w:tcMar>
                    <w:left w:w="0" w:type="dxa"/>
                    <w:right w:w="0" w:type="dxa"/>
                  </w:tcMar>
                  <w:vAlign w:val="center"/>
                </w:tcPr>
                <w:p w14:paraId="0B7F86F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厂界下风向检测点</w:t>
                  </w:r>
                  <w:r>
                    <w:rPr>
                      <w:rFonts w:hint="eastAsia" w:cs="Times New Roman"/>
                      <w:color w:val="auto"/>
                      <w:sz w:val="21"/>
                      <w:szCs w:val="21"/>
                      <w:highlight w:val="none"/>
                      <w:lang w:val="en-US" w:eastAsia="zh-CN"/>
                    </w:rPr>
                    <w:t>A3</w:t>
                  </w: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ABFC9B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2026.6.11</w:t>
                  </w: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2D680F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259DF3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0.195</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6B236D7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0.87</w:t>
                  </w:r>
                </w:p>
              </w:tc>
            </w:tr>
            <w:tr w14:paraId="739203F2">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4F7D4F0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7E45C97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2BC86272">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0F2757D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0.411</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486BDC2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1.15</w:t>
                  </w:r>
                </w:p>
              </w:tc>
            </w:tr>
            <w:tr w14:paraId="0FD3CB93">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19E5532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6E651E7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A09E3B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FC96EA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0.318</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1C0F771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0.71</w:t>
                  </w:r>
                </w:p>
              </w:tc>
            </w:tr>
            <w:tr w14:paraId="065CE061">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58A84CD2">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6785EDE">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2026.</w:t>
                  </w:r>
                  <w:r>
                    <w:rPr>
                      <w:rFonts w:hint="eastAsia" w:eastAsia="宋体" w:cs="Times New Roman"/>
                      <w:color w:val="auto"/>
                      <w:sz w:val="21"/>
                      <w:szCs w:val="21"/>
                      <w:highlight w:val="none"/>
                      <w:lang w:val="en-US" w:eastAsia="zh-CN"/>
                    </w:rPr>
                    <w:t>6.12</w:t>
                  </w: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52B552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020F93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0.315</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A84D07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1.14</w:t>
                  </w:r>
                </w:p>
              </w:tc>
            </w:tr>
            <w:tr w14:paraId="3B5A4DB0">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6C36F76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318E8E5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576469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C94BBF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0.285</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9C993C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0.87</w:t>
                  </w:r>
                </w:p>
              </w:tc>
            </w:tr>
            <w:tr w14:paraId="329787A9">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36A2732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1203FFB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37071A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3B5166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0.191</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41ABF65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1.03</w:t>
                  </w:r>
                </w:p>
              </w:tc>
            </w:tr>
            <w:tr w14:paraId="2E51F701">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restart"/>
                  <w:tcBorders>
                    <w:top w:val="single" w:color="000000" w:sz="2" w:space="0"/>
                    <w:bottom w:val="single" w:color="000000" w:sz="2" w:space="0"/>
                    <w:right w:val="single" w:color="000000" w:sz="2" w:space="0"/>
                  </w:tcBorders>
                  <w:tcMar>
                    <w:left w:w="0" w:type="dxa"/>
                    <w:right w:w="0" w:type="dxa"/>
                  </w:tcMar>
                  <w:vAlign w:val="center"/>
                </w:tcPr>
                <w:p w14:paraId="52D688B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厂界下风向检测点</w:t>
                  </w:r>
                  <w:r>
                    <w:rPr>
                      <w:rFonts w:hint="eastAsia" w:cs="Times New Roman"/>
                      <w:color w:val="auto"/>
                      <w:sz w:val="21"/>
                      <w:szCs w:val="21"/>
                      <w:highlight w:val="none"/>
                      <w:lang w:val="en-US" w:eastAsia="zh-CN"/>
                    </w:rPr>
                    <w:t>A4</w:t>
                  </w: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749F35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2026.6.11</w:t>
                  </w: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E595C8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20A0ECB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0.206</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7F05450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1.19</w:t>
                  </w:r>
                </w:p>
              </w:tc>
            </w:tr>
            <w:tr w14:paraId="1E2D7C06">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427C2F8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32970C6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1793EF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34B998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0.198</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987EF9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0.96</w:t>
                  </w:r>
                </w:p>
              </w:tc>
            </w:tr>
            <w:tr w14:paraId="7DFD8F98">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6FA0A3F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7AF0378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0A4EC3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FC4454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0.275</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05AF8C42">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1.04</w:t>
                  </w:r>
                </w:p>
              </w:tc>
            </w:tr>
            <w:tr w14:paraId="3A89A3BF">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33AABC0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B0297D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2026.</w:t>
                  </w:r>
                  <w:r>
                    <w:rPr>
                      <w:rFonts w:hint="eastAsia" w:eastAsia="宋体" w:cs="Times New Roman"/>
                      <w:color w:val="auto"/>
                      <w:sz w:val="21"/>
                      <w:szCs w:val="21"/>
                      <w:highlight w:val="none"/>
                      <w:lang w:val="en-US" w:eastAsia="zh-CN"/>
                    </w:rPr>
                    <w:t>6.12</w:t>
                  </w: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76A785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F93209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0.338</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43F1353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0.93</w:t>
                  </w:r>
                </w:p>
              </w:tc>
            </w:tr>
            <w:tr w14:paraId="0DD3BAE4">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0DAE86D2">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372CF3E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4E054AE">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26DD5ED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0.261</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B44B7A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1.31</w:t>
                  </w:r>
                </w:p>
              </w:tc>
            </w:tr>
            <w:tr w14:paraId="3BB3E486">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02" w:hRule="exact"/>
                <w:jc w:val="center"/>
              </w:trPr>
              <w:tc>
                <w:tcPr>
                  <w:tcW w:w="836" w:type="pct"/>
                  <w:vMerge w:val="continue"/>
                  <w:tcBorders>
                    <w:top w:val="single" w:color="000000" w:sz="2" w:space="0"/>
                    <w:bottom w:val="single" w:color="000000" w:sz="2" w:space="0"/>
                    <w:right w:val="single" w:color="000000" w:sz="2" w:space="0"/>
                  </w:tcBorders>
                  <w:vAlign w:val="center"/>
                </w:tcPr>
                <w:p w14:paraId="6933175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3EAB33A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94"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7B5EB93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49DE0CF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0.405</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9DE3D9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1.05</w:t>
                  </w:r>
                </w:p>
              </w:tc>
            </w:tr>
            <w:tr w14:paraId="5D4E185F">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02" w:hRule="exact"/>
                <w:jc w:val="center"/>
              </w:trPr>
              <w:tc>
                <w:tcPr>
                  <w:tcW w:w="2731" w:type="pct"/>
                  <w:gridSpan w:val="3"/>
                  <w:tcBorders>
                    <w:top w:val="single" w:color="000000" w:sz="2" w:space="0"/>
                    <w:bottom w:val="single" w:color="000000" w:sz="2" w:space="0"/>
                    <w:right w:val="single" w:color="000000" w:sz="2" w:space="0"/>
                  </w:tcBorders>
                  <w:vAlign w:val="center"/>
                </w:tcPr>
                <w:p w14:paraId="4D4B845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标准限值</w:t>
                  </w:r>
                </w:p>
              </w:tc>
              <w:tc>
                <w:tcPr>
                  <w:tcW w:w="1157" w:type="pc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BBA65A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1.0</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691910C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r>
            <w:tr w14:paraId="50A75F74">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618" w:hRule="exact"/>
                <w:jc w:val="center"/>
              </w:trPr>
              <w:tc>
                <w:tcPr>
                  <w:tcW w:w="3889" w:type="pct"/>
                  <w:gridSpan w:val="4"/>
                  <w:tcBorders>
                    <w:top w:val="single" w:color="000000" w:sz="2" w:space="0"/>
                    <w:bottom w:val="single" w:color="000000" w:sz="2" w:space="0"/>
                    <w:right w:val="single" w:color="000000" w:sz="2" w:space="0"/>
                  </w:tcBorders>
                  <w:tcMar>
                    <w:left w:w="0" w:type="dxa"/>
                    <w:right w:w="0" w:type="dxa"/>
                  </w:tcMar>
                  <w:vAlign w:val="center"/>
                </w:tcPr>
                <w:p w14:paraId="6CF63FA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采样点位、采样时间及检测频次</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10176A42">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非甲烷总烃</w:t>
                  </w:r>
                </w:p>
                <w:p w14:paraId="4B8FDAA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w:t>
                  </w:r>
                </w:p>
              </w:tc>
            </w:tr>
            <w:tr w14:paraId="2AA72C7B">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restart"/>
                  <w:tcBorders>
                    <w:top w:val="single" w:color="000000" w:sz="2" w:space="0"/>
                    <w:bottom w:val="single" w:color="000000" w:sz="2" w:space="0"/>
                    <w:right w:val="single" w:color="000000" w:sz="2" w:space="0"/>
                  </w:tcBorders>
                  <w:tcMar>
                    <w:left w:w="0" w:type="dxa"/>
                    <w:right w:w="0" w:type="dxa"/>
                  </w:tcMar>
                  <w:vAlign w:val="center"/>
                </w:tcPr>
                <w:p w14:paraId="47E1DA6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厂内无组织检测点</w:t>
                  </w:r>
                  <w:r>
                    <w:rPr>
                      <w:rFonts w:hint="eastAsia" w:cs="Times New Roman"/>
                      <w:color w:val="auto"/>
                      <w:sz w:val="21"/>
                      <w:szCs w:val="21"/>
                      <w:highlight w:val="none"/>
                      <w:lang w:val="en-US" w:eastAsia="zh-CN"/>
                    </w:rPr>
                    <w:t>A5</w:t>
                  </w: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03792F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2026.5.12</w:t>
                  </w:r>
                </w:p>
              </w:tc>
              <w:tc>
                <w:tcPr>
                  <w:tcW w:w="2151" w:type="pct"/>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504D42F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030735A2">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2.69</w:t>
                  </w:r>
                </w:p>
              </w:tc>
            </w:tr>
            <w:tr w14:paraId="2B50501B">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141D34B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0F4DEC7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2151" w:type="pct"/>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670F522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19F828C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3.05</w:t>
                  </w:r>
                </w:p>
              </w:tc>
            </w:tr>
            <w:tr w14:paraId="78992D17">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0AD09CA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7E1C83C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2151" w:type="pct"/>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7E67CAA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3EAAAC2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4.11</w:t>
                  </w:r>
                </w:p>
              </w:tc>
            </w:tr>
            <w:tr w14:paraId="30557BB8">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59EB7BA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restart"/>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25A6E54E">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2026.5.13</w:t>
                  </w:r>
                </w:p>
              </w:tc>
              <w:tc>
                <w:tcPr>
                  <w:tcW w:w="2151" w:type="pct"/>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3769349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第一次</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6CEBB1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5.01</w:t>
                  </w:r>
                </w:p>
              </w:tc>
            </w:tr>
            <w:tr w14:paraId="4C19265C">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24BC17D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4306D16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2151" w:type="pct"/>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74EFCB0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第二次</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259A250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2.61</w:t>
                  </w:r>
                </w:p>
              </w:tc>
            </w:tr>
            <w:tr w14:paraId="3993F995">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22" w:hRule="exact"/>
                <w:jc w:val="center"/>
              </w:trPr>
              <w:tc>
                <w:tcPr>
                  <w:tcW w:w="836" w:type="pct"/>
                  <w:vMerge w:val="continue"/>
                  <w:tcBorders>
                    <w:top w:val="single" w:color="000000" w:sz="2" w:space="0"/>
                    <w:bottom w:val="single" w:color="000000" w:sz="2" w:space="0"/>
                    <w:right w:val="single" w:color="000000" w:sz="2" w:space="0"/>
                  </w:tcBorders>
                  <w:vAlign w:val="center"/>
                </w:tcPr>
                <w:p w14:paraId="0D384D2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01" w:type="pct"/>
                  <w:vMerge w:val="continue"/>
                  <w:tcBorders>
                    <w:top w:val="single" w:color="000000" w:sz="2" w:space="0"/>
                    <w:left w:val="single" w:color="000000" w:sz="2" w:space="0"/>
                    <w:bottom w:val="single" w:color="000000" w:sz="2" w:space="0"/>
                    <w:right w:val="single" w:color="000000" w:sz="2" w:space="0"/>
                  </w:tcBorders>
                  <w:vAlign w:val="center"/>
                </w:tcPr>
                <w:p w14:paraId="37D1213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2151" w:type="pct"/>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14:paraId="1598868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第三次</w:t>
                  </w:r>
                </w:p>
              </w:tc>
              <w:tc>
                <w:tcPr>
                  <w:tcW w:w="1110" w:type="pct"/>
                  <w:tcBorders>
                    <w:top w:val="single" w:color="000000" w:sz="2" w:space="0"/>
                    <w:left w:val="single" w:color="000000" w:sz="2" w:space="0"/>
                    <w:bottom w:val="single" w:color="000000" w:sz="2" w:space="0"/>
                  </w:tcBorders>
                  <w:tcMar>
                    <w:left w:w="0" w:type="dxa"/>
                    <w:right w:w="0" w:type="dxa"/>
                  </w:tcMar>
                  <w:vAlign w:val="center"/>
                </w:tcPr>
                <w:p w14:paraId="5F1AF1D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3.13</w:t>
                  </w:r>
                </w:p>
              </w:tc>
            </w:tr>
            <w:tr w14:paraId="4D6A84F5">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36" w:hRule="exact"/>
                <w:jc w:val="center"/>
              </w:trPr>
              <w:tc>
                <w:tcPr>
                  <w:tcW w:w="3889" w:type="pct"/>
                  <w:gridSpan w:val="4"/>
                  <w:tcBorders>
                    <w:top w:val="single" w:color="000000" w:sz="2" w:space="0"/>
                    <w:bottom w:val="single" w:color="000000" w:sz="2" w:space="0"/>
                    <w:right w:val="single" w:color="000000" w:sz="2" w:space="0"/>
                  </w:tcBorders>
                  <w:vAlign w:val="center"/>
                </w:tcPr>
                <w:p w14:paraId="7F267E4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标准限值</w:t>
                  </w:r>
                </w:p>
              </w:tc>
              <w:tc>
                <w:tcPr>
                  <w:tcW w:w="1110" w:type="pct"/>
                  <w:tcBorders>
                    <w:top w:val="single" w:color="000000" w:sz="2" w:space="0"/>
                    <w:left w:val="single" w:color="000000" w:sz="2" w:space="0"/>
                    <w:bottom w:val="single" w:color="000000" w:sz="2" w:space="0"/>
                  </w:tcBorders>
                  <w:vAlign w:val="center"/>
                </w:tcPr>
                <w:p w14:paraId="6798616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r>
          </w:tbl>
          <w:p w14:paraId="3A2AC19A">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本次验收监测结果表明，无组织废气</w:t>
            </w:r>
            <w:r>
              <w:rPr>
                <w:rFonts w:hint="default" w:ascii="Times New Roman" w:hAnsi="Times New Roman" w:eastAsia="宋体" w:cs="Times New Roman"/>
                <w:color w:val="auto"/>
                <w:sz w:val="24"/>
                <w:szCs w:val="24"/>
                <w:lang w:eastAsia="zh-CN"/>
              </w:rPr>
              <w:t>颗粒物满足</w:t>
            </w:r>
            <w:r>
              <w:rPr>
                <w:rFonts w:hint="eastAsia"/>
                <w:color w:val="auto"/>
                <w:sz w:val="24"/>
                <w:szCs w:val="24"/>
              </w:rPr>
              <w:t>《</w:t>
            </w:r>
            <w:r>
              <w:rPr>
                <w:rFonts w:hint="eastAsia"/>
                <w:color w:val="auto"/>
                <w:sz w:val="24"/>
                <w:szCs w:val="24"/>
                <w:lang w:eastAsia="zh-CN"/>
              </w:rPr>
              <w:t>大气</w:t>
            </w:r>
            <w:r>
              <w:rPr>
                <w:rFonts w:hint="eastAsia"/>
                <w:color w:val="auto"/>
                <w:sz w:val="24"/>
                <w:szCs w:val="24"/>
              </w:rPr>
              <w:t>污染物</w:t>
            </w:r>
            <w:r>
              <w:rPr>
                <w:rFonts w:hint="eastAsia"/>
                <w:color w:val="auto"/>
                <w:sz w:val="24"/>
                <w:szCs w:val="24"/>
                <w:lang w:eastAsia="zh-CN"/>
              </w:rPr>
              <w:t>综合</w:t>
            </w:r>
            <w:r>
              <w:rPr>
                <w:rFonts w:hint="eastAsia"/>
                <w:color w:val="auto"/>
                <w:sz w:val="24"/>
                <w:szCs w:val="24"/>
              </w:rPr>
              <w:t>排放标准》（GB</w:t>
            </w:r>
            <w:r>
              <w:rPr>
                <w:rFonts w:hint="eastAsia"/>
                <w:color w:val="auto"/>
                <w:sz w:val="24"/>
                <w:szCs w:val="24"/>
                <w:lang w:val="en-US" w:eastAsia="zh-CN"/>
              </w:rPr>
              <w:t>16297-1996</w:t>
            </w:r>
            <w:r>
              <w:rPr>
                <w:rFonts w:hint="eastAsia"/>
                <w:color w:val="auto"/>
                <w:sz w:val="24"/>
                <w:szCs w:val="24"/>
              </w:rPr>
              <w:t>）</w:t>
            </w:r>
            <w:r>
              <w:rPr>
                <w:rFonts w:hint="eastAsia"/>
                <w:color w:val="auto"/>
                <w:sz w:val="24"/>
                <w:szCs w:val="24"/>
                <w:lang w:eastAsia="zh-CN"/>
              </w:rPr>
              <w:t>无组织排放监控浓度限值要求</w:t>
            </w:r>
            <w:r>
              <w:rPr>
                <w:rFonts w:hint="default" w:ascii="Times New Roman" w:hAnsi="Times New Roman" w:eastAsia="宋体" w:cs="Times New Roman"/>
                <w:color w:val="auto"/>
                <w:sz w:val="24"/>
                <w:szCs w:val="24"/>
                <w:lang w:eastAsia="zh-CN"/>
              </w:rPr>
              <w:t>，非甲烷总烃排放</w:t>
            </w:r>
            <w:r>
              <w:rPr>
                <w:rFonts w:hint="eastAsia" w:cs="Times New Roman"/>
                <w:color w:val="auto"/>
                <w:sz w:val="24"/>
                <w:szCs w:val="24"/>
                <w:lang w:eastAsia="zh-CN"/>
              </w:rPr>
              <w:t>可满足</w:t>
            </w:r>
            <w:r>
              <w:rPr>
                <w:rFonts w:hint="default" w:ascii="Times New Roman" w:hAnsi="Times New Roman" w:eastAsia="宋体" w:cs="Times New Roman"/>
                <w:color w:val="auto"/>
                <w:sz w:val="24"/>
                <w:szCs w:val="24"/>
                <w:lang w:eastAsia="zh-CN"/>
              </w:rPr>
              <w:t>《挥发性有机物综合排放控制标准（试行）》（DB36/2186-2025）表2和表3中限值要求</w:t>
            </w:r>
            <w:r>
              <w:rPr>
                <w:rFonts w:hint="eastAsia" w:cs="Times New Roman"/>
                <w:color w:val="auto"/>
                <w:sz w:val="24"/>
                <w:szCs w:val="24"/>
                <w:lang w:eastAsia="zh-CN"/>
              </w:rPr>
              <w:t>。</w:t>
            </w:r>
          </w:p>
          <w:p w14:paraId="36EAF002">
            <w:pPr>
              <w:keepNext w:val="0"/>
              <w:keepLines w:val="0"/>
              <w:pageBreakBefore w:val="0"/>
              <w:widowControl w:val="0"/>
              <w:kinsoku/>
              <w:wordWrap/>
              <w:overflowPunct/>
              <w:topLinePunct w:val="0"/>
              <w:autoSpaceDE/>
              <w:autoSpaceDN/>
              <w:bidi w:val="0"/>
              <w:snapToGrid/>
              <w:spacing w:line="360" w:lineRule="auto"/>
              <w:textAlignment w:val="auto"/>
              <w:rPr>
                <w:b/>
                <w:color w:val="auto"/>
                <w:sz w:val="24"/>
                <w:szCs w:val="24"/>
              </w:rPr>
            </w:pPr>
            <w:r>
              <w:rPr>
                <w:b/>
                <w:color w:val="auto"/>
                <w:sz w:val="24"/>
                <w:szCs w:val="24"/>
              </w:rPr>
              <w:t>7.2.3 噪声排放监测结果及分析</w:t>
            </w:r>
          </w:p>
          <w:p w14:paraId="68A04F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color w:val="auto"/>
                <w:sz w:val="24"/>
                <w:szCs w:val="24"/>
              </w:rPr>
              <w:t>项目厂界噪声监测结果见</w:t>
            </w:r>
            <w:r>
              <w:rPr>
                <w:rFonts w:hint="eastAsia"/>
                <w:color w:val="auto"/>
                <w:sz w:val="24"/>
                <w:szCs w:val="24"/>
                <w:lang w:eastAsia="zh-CN"/>
              </w:rPr>
              <w:t>下表</w:t>
            </w:r>
            <w:r>
              <w:rPr>
                <w:color w:val="auto"/>
                <w:sz w:val="24"/>
                <w:szCs w:val="24"/>
              </w:rPr>
              <w:t>。</w:t>
            </w:r>
          </w:p>
          <w:p w14:paraId="0D4F983C">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表7-5 厂界噪声监测结果一览表，单位：dB（A）</w:t>
            </w:r>
          </w:p>
          <w:tbl>
            <w:tblPr>
              <w:tblStyle w:val="34"/>
              <w:tblW w:w="4997"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2652"/>
              <w:gridCol w:w="889"/>
              <w:gridCol w:w="891"/>
              <w:gridCol w:w="889"/>
              <w:gridCol w:w="892"/>
              <w:gridCol w:w="889"/>
              <w:gridCol w:w="894"/>
            </w:tblGrid>
            <w:tr w14:paraId="151CAD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vMerge w:val="restart"/>
                  <w:noWrap w:val="0"/>
                  <w:vAlign w:val="center"/>
                </w:tcPr>
                <w:p w14:paraId="2ED16EFC">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测点编号</w:t>
                  </w:r>
                </w:p>
              </w:tc>
              <w:tc>
                <w:tcPr>
                  <w:tcW w:w="1462" w:type="pct"/>
                  <w:vMerge w:val="restart"/>
                  <w:noWrap w:val="0"/>
                  <w:vAlign w:val="center"/>
                </w:tcPr>
                <w:p w14:paraId="7F70B0CC">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检测位置</w:t>
                  </w:r>
                </w:p>
              </w:tc>
              <w:tc>
                <w:tcPr>
                  <w:tcW w:w="1963" w:type="pct"/>
                  <w:gridSpan w:val="4"/>
                  <w:noWrap w:val="0"/>
                  <w:vAlign w:val="center"/>
                </w:tcPr>
                <w:p w14:paraId="15DD678D">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检测结果</w:t>
                  </w:r>
                </w:p>
              </w:tc>
              <w:tc>
                <w:tcPr>
                  <w:tcW w:w="983" w:type="pct"/>
                  <w:gridSpan w:val="2"/>
                  <w:vMerge w:val="restart"/>
                  <w:noWrap w:val="0"/>
                  <w:vAlign w:val="center"/>
                </w:tcPr>
                <w:p w14:paraId="25AB3FFF">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标准限值</w:t>
                  </w:r>
                </w:p>
              </w:tc>
            </w:tr>
            <w:tr w14:paraId="0B4FF0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vMerge w:val="continue"/>
                  <w:noWrap w:val="0"/>
                  <w:vAlign w:val="center"/>
                </w:tcPr>
                <w:p w14:paraId="775AC77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p>
              </w:tc>
              <w:tc>
                <w:tcPr>
                  <w:tcW w:w="1462" w:type="pct"/>
                  <w:vMerge w:val="continue"/>
                  <w:noWrap w:val="0"/>
                  <w:vAlign w:val="center"/>
                </w:tcPr>
                <w:p w14:paraId="1742453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p>
              </w:tc>
              <w:tc>
                <w:tcPr>
                  <w:tcW w:w="981" w:type="pct"/>
                  <w:gridSpan w:val="2"/>
                  <w:noWrap w:val="0"/>
                  <w:vAlign w:val="center"/>
                </w:tcPr>
                <w:p w14:paraId="61C95FCD">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2026.6.11</w:t>
                  </w:r>
                </w:p>
              </w:tc>
              <w:tc>
                <w:tcPr>
                  <w:tcW w:w="982" w:type="pct"/>
                  <w:gridSpan w:val="2"/>
                  <w:noWrap w:val="0"/>
                  <w:vAlign w:val="center"/>
                </w:tcPr>
                <w:p w14:paraId="301A79D5">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kern w:val="0"/>
                      <w:sz w:val="21"/>
                      <w:szCs w:val="21"/>
                      <w:lang w:val="en-US" w:eastAsia="zh-CN" w:bidi="ar-SA"/>
                    </w:rPr>
                  </w:pPr>
                  <w:r>
                    <w:rPr>
                      <w:rFonts w:hint="eastAsia" w:cs="Times New Roman"/>
                      <w:color w:val="auto"/>
                      <w:kern w:val="2"/>
                      <w:sz w:val="21"/>
                      <w:szCs w:val="21"/>
                      <w:lang w:val="en-US" w:eastAsia="zh-CN" w:bidi="ar-SA"/>
                    </w:rPr>
                    <w:t>2026.6.12</w:t>
                  </w:r>
                </w:p>
              </w:tc>
              <w:tc>
                <w:tcPr>
                  <w:tcW w:w="983" w:type="pct"/>
                  <w:gridSpan w:val="2"/>
                  <w:vMerge w:val="continue"/>
                  <w:noWrap w:val="0"/>
                  <w:vAlign w:val="center"/>
                </w:tcPr>
                <w:p w14:paraId="37245E77">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p>
              </w:tc>
            </w:tr>
            <w:tr w14:paraId="37D5EF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vMerge w:val="continue"/>
                  <w:noWrap w:val="0"/>
                  <w:vAlign w:val="center"/>
                </w:tcPr>
                <w:p w14:paraId="672CCC25">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p>
              </w:tc>
              <w:tc>
                <w:tcPr>
                  <w:tcW w:w="1462" w:type="pct"/>
                  <w:vMerge w:val="continue"/>
                  <w:noWrap w:val="0"/>
                  <w:vAlign w:val="center"/>
                </w:tcPr>
                <w:p w14:paraId="1F6BAA27">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p>
              </w:tc>
              <w:tc>
                <w:tcPr>
                  <w:tcW w:w="490" w:type="pct"/>
                  <w:noWrap w:val="0"/>
                  <w:vAlign w:val="center"/>
                </w:tcPr>
                <w:p w14:paraId="3D7EB63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昼间</w:t>
                  </w:r>
                </w:p>
              </w:tc>
              <w:tc>
                <w:tcPr>
                  <w:tcW w:w="490" w:type="pct"/>
                  <w:noWrap w:val="0"/>
                  <w:vAlign w:val="center"/>
                </w:tcPr>
                <w:p w14:paraId="6E6EAFC7">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夜间</w:t>
                  </w:r>
                </w:p>
              </w:tc>
              <w:tc>
                <w:tcPr>
                  <w:tcW w:w="490" w:type="pct"/>
                  <w:noWrap w:val="0"/>
                  <w:vAlign w:val="center"/>
                </w:tcPr>
                <w:p w14:paraId="3AE3505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kern w:val="2"/>
                      <w:sz w:val="21"/>
                      <w:szCs w:val="21"/>
                      <w:lang w:val="en-US" w:eastAsia="zh-CN" w:bidi="ar-SA"/>
                    </w:rPr>
                  </w:pPr>
                  <w:r>
                    <w:rPr>
                      <w:rFonts w:hint="eastAsia" w:ascii="Times New Roman" w:hAnsi="Times New Roman" w:eastAsia="宋体" w:cs="Times New Roman"/>
                      <w:iCs/>
                      <w:color w:val="auto"/>
                      <w:sz w:val="21"/>
                      <w:szCs w:val="21"/>
                      <w:lang w:val="en-US" w:eastAsia="zh-CN"/>
                    </w:rPr>
                    <w:t>昼间</w:t>
                  </w:r>
                </w:p>
              </w:tc>
              <w:tc>
                <w:tcPr>
                  <w:tcW w:w="491" w:type="pct"/>
                  <w:noWrap w:val="0"/>
                  <w:vAlign w:val="center"/>
                </w:tcPr>
                <w:p w14:paraId="4B17BB27">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kern w:val="2"/>
                      <w:sz w:val="21"/>
                      <w:szCs w:val="21"/>
                      <w:lang w:val="en-US" w:eastAsia="zh-CN" w:bidi="ar-SA"/>
                    </w:rPr>
                  </w:pPr>
                  <w:r>
                    <w:rPr>
                      <w:rFonts w:hint="eastAsia" w:ascii="Times New Roman" w:hAnsi="Times New Roman" w:eastAsia="宋体" w:cs="Times New Roman"/>
                      <w:iCs/>
                      <w:color w:val="auto"/>
                      <w:sz w:val="21"/>
                      <w:szCs w:val="21"/>
                      <w:lang w:val="en-US" w:eastAsia="zh-CN"/>
                    </w:rPr>
                    <w:t>夜间</w:t>
                  </w:r>
                </w:p>
              </w:tc>
              <w:tc>
                <w:tcPr>
                  <w:tcW w:w="490" w:type="pct"/>
                  <w:noWrap w:val="0"/>
                  <w:vAlign w:val="center"/>
                </w:tcPr>
                <w:p w14:paraId="645EBAA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kern w:val="2"/>
                      <w:sz w:val="21"/>
                      <w:szCs w:val="21"/>
                      <w:lang w:val="en-US" w:eastAsia="zh-CN" w:bidi="ar-SA"/>
                    </w:rPr>
                  </w:pPr>
                  <w:r>
                    <w:rPr>
                      <w:rFonts w:hint="eastAsia" w:ascii="Times New Roman" w:hAnsi="Times New Roman" w:eastAsia="宋体" w:cs="Times New Roman"/>
                      <w:iCs/>
                      <w:color w:val="auto"/>
                      <w:sz w:val="21"/>
                      <w:szCs w:val="21"/>
                      <w:lang w:val="en-US" w:eastAsia="zh-CN"/>
                    </w:rPr>
                    <w:t>昼间</w:t>
                  </w:r>
                </w:p>
              </w:tc>
              <w:tc>
                <w:tcPr>
                  <w:tcW w:w="492" w:type="pct"/>
                  <w:noWrap w:val="0"/>
                  <w:vAlign w:val="center"/>
                </w:tcPr>
                <w:p w14:paraId="263702C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kern w:val="2"/>
                      <w:sz w:val="21"/>
                      <w:szCs w:val="21"/>
                      <w:lang w:val="en-US" w:eastAsia="zh-CN" w:bidi="ar-SA"/>
                    </w:rPr>
                  </w:pPr>
                  <w:r>
                    <w:rPr>
                      <w:rFonts w:hint="eastAsia" w:ascii="Times New Roman" w:hAnsi="Times New Roman" w:eastAsia="宋体" w:cs="Times New Roman"/>
                      <w:iCs/>
                      <w:color w:val="auto"/>
                      <w:sz w:val="21"/>
                      <w:szCs w:val="21"/>
                      <w:lang w:val="en-US" w:eastAsia="zh-CN"/>
                    </w:rPr>
                    <w:t>夜间</w:t>
                  </w:r>
                </w:p>
              </w:tc>
            </w:tr>
            <w:tr w14:paraId="351DB84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noWrap w:val="0"/>
                  <w:vAlign w:val="center"/>
                </w:tcPr>
                <w:p w14:paraId="50C57F4D">
                  <w:pPr>
                    <w:spacing w:line="276" w:lineRule="auto"/>
                    <w:jc w:val="center"/>
                    <w:rPr>
                      <w:rFonts w:hint="default"/>
                      <w:b w:val="0"/>
                      <w:bCs/>
                      <w:color w:val="auto"/>
                      <w:kern w:val="2"/>
                      <w:sz w:val="21"/>
                      <w:szCs w:val="21"/>
                      <w:lang w:val="en-US" w:eastAsia="zh-CN" w:bidi="ar-SA"/>
                    </w:rPr>
                  </w:pPr>
                  <w:r>
                    <w:rPr>
                      <w:rFonts w:hint="eastAsia"/>
                      <w:b w:val="0"/>
                      <w:bCs/>
                      <w:color w:val="auto"/>
                      <w:sz w:val="21"/>
                      <w:szCs w:val="21"/>
                    </w:rPr>
                    <w:t>N1</w:t>
                  </w:r>
                </w:p>
              </w:tc>
              <w:tc>
                <w:tcPr>
                  <w:tcW w:w="1462" w:type="pct"/>
                  <w:noWrap w:val="0"/>
                  <w:vAlign w:val="center"/>
                </w:tcPr>
                <w:p w14:paraId="1D7DA05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东面</w:t>
                  </w:r>
                  <w:r>
                    <w:rPr>
                      <w:rFonts w:hint="default" w:ascii="Times New Roman" w:hAnsi="Times New Roman" w:eastAsia="宋体" w:cs="Times New Roman"/>
                      <w:iCs/>
                      <w:color w:val="auto"/>
                      <w:sz w:val="21"/>
                      <w:szCs w:val="21"/>
                      <w:lang w:val="en-US" w:eastAsia="zh-CN"/>
                    </w:rPr>
                    <w:t>厂界外1米</w:t>
                  </w:r>
                  <w:r>
                    <w:rPr>
                      <w:rFonts w:hint="eastAsia" w:ascii="Times New Roman" w:hAnsi="Times New Roman" w:eastAsia="宋体" w:cs="Times New Roman"/>
                      <w:iCs/>
                      <w:color w:val="auto"/>
                      <w:sz w:val="21"/>
                      <w:szCs w:val="21"/>
                      <w:lang w:val="en-US" w:eastAsia="zh-CN"/>
                    </w:rPr>
                    <w:t>处</w:t>
                  </w:r>
                </w:p>
              </w:tc>
              <w:tc>
                <w:tcPr>
                  <w:tcW w:w="490" w:type="pct"/>
                  <w:noWrap w:val="0"/>
                  <w:vAlign w:val="center"/>
                </w:tcPr>
                <w:p w14:paraId="0F0A1738">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57.1</w:t>
                  </w:r>
                </w:p>
              </w:tc>
              <w:tc>
                <w:tcPr>
                  <w:tcW w:w="490" w:type="pct"/>
                  <w:noWrap w:val="0"/>
                  <w:vAlign w:val="center"/>
                </w:tcPr>
                <w:p w14:paraId="01FAF0C7">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47.1</w:t>
                  </w:r>
                </w:p>
              </w:tc>
              <w:tc>
                <w:tcPr>
                  <w:tcW w:w="490" w:type="pct"/>
                  <w:noWrap w:val="0"/>
                  <w:vAlign w:val="center"/>
                </w:tcPr>
                <w:p w14:paraId="74E906B2">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56.9</w:t>
                  </w:r>
                </w:p>
              </w:tc>
              <w:tc>
                <w:tcPr>
                  <w:tcW w:w="491" w:type="pct"/>
                  <w:noWrap w:val="0"/>
                  <w:vAlign w:val="center"/>
                </w:tcPr>
                <w:p w14:paraId="519CEB95">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46.9</w:t>
                  </w:r>
                </w:p>
              </w:tc>
              <w:tc>
                <w:tcPr>
                  <w:tcW w:w="490" w:type="pct"/>
                  <w:noWrap w:val="0"/>
                  <w:vAlign w:val="center"/>
                </w:tcPr>
                <w:p w14:paraId="016195B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65</w:t>
                  </w:r>
                </w:p>
              </w:tc>
              <w:tc>
                <w:tcPr>
                  <w:tcW w:w="492" w:type="pct"/>
                  <w:noWrap w:val="0"/>
                  <w:vAlign w:val="center"/>
                </w:tcPr>
                <w:p w14:paraId="626E350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55</w:t>
                  </w:r>
                </w:p>
              </w:tc>
            </w:tr>
            <w:tr w14:paraId="74E8DC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noWrap w:val="0"/>
                  <w:vAlign w:val="center"/>
                </w:tcPr>
                <w:p w14:paraId="5E4045C6">
                  <w:pPr>
                    <w:spacing w:line="276" w:lineRule="auto"/>
                    <w:jc w:val="center"/>
                    <w:rPr>
                      <w:rFonts w:hint="default"/>
                      <w:b w:val="0"/>
                      <w:bCs/>
                      <w:color w:val="auto"/>
                      <w:kern w:val="2"/>
                      <w:sz w:val="21"/>
                      <w:szCs w:val="21"/>
                      <w:lang w:val="en-US" w:eastAsia="zh-CN" w:bidi="ar-SA"/>
                    </w:rPr>
                  </w:pPr>
                  <w:r>
                    <w:rPr>
                      <w:rFonts w:hint="eastAsia"/>
                      <w:b w:val="0"/>
                      <w:bCs/>
                      <w:color w:val="auto"/>
                      <w:sz w:val="21"/>
                      <w:szCs w:val="21"/>
                    </w:rPr>
                    <w:t>N2</w:t>
                  </w:r>
                </w:p>
              </w:tc>
              <w:tc>
                <w:tcPr>
                  <w:tcW w:w="1462" w:type="pct"/>
                  <w:noWrap w:val="0"/>
                  <w:vAlign w:val="center"/>
                </w:tcPr>
                <w:p w14:paraId="2D322AE9">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南面</w:t>
                  </w:r>
                  <w:r>
                    <w:rPr>
                      <w:rFonts w:hint="default" w:ascii="Times New Roman" w:hAnsi="Times New Roman" w:eastAsia="宋体" w:cs="Times New Roman"/>
                      <w:iCs/>
                      <w:color w:val="auto"/>
                      <w:sz w:val="21"/>
                      <w:szCs w:val="21"/>
                      <w:lang w:val="en-US" w:eastAsia="zh-CN"/>
                    </w:rPr>
                    <w:t>厂界外1米</w:t>
                  </w:r>
                  <w:r>
                    <w:rPr>
                      <w:rFonts w:hint="eastAsia" w:ascii="Times New Roman" w:hAnsi="Times New Roman" w:eastAsia="宋体" w:cs="Times New Roman"/>
                      <w:iCs/>
                      <w:color w:val="auto"/>
                      <w:sz w:val="21"/>
                      <w:szCs w:val="21"/>
                      <w:lang w:val="en-US" w:eastAsia="zh-CN"/>
                    </w:rPr>
                    <w:t>处</w:t>
                  </w:r>
                </w:p>
              </w:tc>
              <w:tc>
                <w:tcPr>
                  <w:tcW w:w="490" w:type="pct"/>
                  <w:noWrap w:val="0"/>
                  <w:vAlign w:val="center"/>
                </w:tcPr>
                <w:p w14:paraId="6F1F83C9">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54.2</w:t>
                  </w:r>
                </w:p>
              </w:tc>
              <w:tc>
                <w:tcPr>
                  <w:tcW w:w="490" w:type="pct"/>
                  <w:noWrap w:val="0"/>
                  <w:vAlign w:val="center"/>
                </w:tcPr>
                <w:p w14:paraId="07BFBAE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46.5</w:t>
                  </w:r>
                </w:p>
              </w:tc>
              <w:tc>
                <w:tcPr>
                  <w:tcW w:w="490" w:type="pct"/>
                  <w:noWrap w:val="0"/>
                  <w:vAlign w:val="center"/>
                </w:tcPr>
                <w:p w14:paraId="2DCF90C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53.8</w:t>
                  </w:r>
                </w:p>
              </w:tc>
              <w:tc>
                <w:tcPr>
                  <w:tcW w:w="491" w:type="pct"/>
                  <w:noWrap w:val="0"/>
                  <w:vAlign w:val="center"/>
                </w:tcPr>
                <w:p w14:paraId="0836E505">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43.7</w:t>
                  </w:r>
                </w:p>
              </w:tc>
              <w:tc>
                <w:tcPr>
                  <w:tcW w:w="490" w:type="pct"/>
                  <w:noWrap w:val="0"/>
                  <w:vAlign w:val="center"/>
                </w:tcPr>
                <w:p w14:paraId="081CEF38">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65</w:t>
                  </w:r>
                </w:p>
              </w:tc>
              <w:tc>
                <w:tcPr>
                  <w:tcW w:w="492" w:type="pct"/>
                  <w:noWrap w:val="0"/>
                  <w:vAlign w:val="center"/>
                </w:tcPr>
                <w:p w14:paraId="19464DA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55</w:t>
                  </w:r>
                </w:p>
              </w:tc>
            </w:tr>
            <w:tr w14:paraId="464789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noWrap w:val="0"/>
                  <w:vAlign w:val="center"/>
                </w:tcPr>
                <w:p w14:paraId="4043E380">
                  <w:pPr>
                    <w:spacing w:line="276" w:lineRule="auto"/>
                    <w:jc w:val="center"/>
                    <w:rPr>
                      <w:rFonts w:hint="default"/>
                      <w:b w:val="0"/>
                      <w:bCs/>
                      <w:color w:val="auto"/>
                      <w:kern w:val="2"/>
                      <w:sz w:val="21"/>
                      <w:szCs w:val="21"/>
                      <w:lang w:val="en-US" w:eastAsia="zh-CN" w:bidi="ar-SA"/>
                    </w:rPr>
                  </w:pPr>
                  <w:r>
                    <w:rPr>
                      <w:rFonts w:hint="eastAsia"/>
                      <w:b w:val="0"/>
                      <w:bCs/>
                      <w:color w:val="auto"/>
                      <w:sz w:val="21"/>
                      <w:szCs w:val="21"/>
                    </w:rPr>
                    <w:t>N3</w:t>
                  </w:r>
                </w:p>
              </w:tc>
              <w:tc>
                <w:tcPr>
                  <w:tcW w:w="1462" w:type="pct"/>
                  <w:noWrap w:val="0"/>
                  <w:vAlign w:val="center"/>
                </w:tcPr>
                <w:p w14:paraId="4A28E925">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西面</w:t>
                  </w:r>
                  <w:r>
                    <w:rPr>
                      <w:rFonts w:hint="default" w:ascii="Times New Roman" w:hAnsi="Times New Roman" w:eastAsia="宋体" w:cs="Times New Roman"/>
                      <w:iCs/>
                      <w:color w:val="auto"/>
                      <w:sz w:val="21"/>
                      <w:szCs w:val="21"/>
                      <w:lang w:val="en-US" w:eastAsia="zh-CN"/>
                    </w:rPr>
                    <w:t>厂界外1米</w:t>
                  </w:r>
                  <w:r>
                    <w:rPr>
                      <w:rFonts w:hint="eastAsia" w:ascii="Times New Roman" w:hAnsi="Times New Roman" w:eastAsia="宋体" w:cs="Times New Roman"/>
                      <w:iCs/>
                      <w:color w:val="auto"/>
                      <w:sz w:val="21"/>
                      <w:szCs w:val="21"/>
                      <w:lang w:val="en-US" w:eastAsia="zh-CN"/>
                    </w:rPr>
                    <w:t>处</w:t>
                  </w:r>
                </w:p>
              </w:tc>
              <w:tc>
                <w:tcPr>
                  <w:tcW w:w="490" w:type="pct"/>
                  <w:noWrap w:val="0"/>
                  <w:vAlign w:val="center"/>
                </w:tcPr>
                <w:p w14:paraId="5D4D3AE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55.4</w:t>
                  </w:r>
                </w:p>
              </w:tc>
              <w:tc>
                <w:tcPr>
                  <w:tcW w:w="490" w:type="pct"/>
                  <w:noWrap w:val="0"/>
                  <w:vAlign w:val="center"/>
                </w:tcPr>
                <w:p w14:paraId="076E6018">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44.7</w:t>
                  </w:r>
                </w:p>
              </w:tc>
              <w:tc>
                <w:tcPr>
                  <w:tcW w:w="490" w:type="pct"/>
                  <w:noWrap w:val="0"/>
                  <w:vAlign w:val="center"/>
                </w:tcPr>
                <w:p w14:paraId="3B96CAA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54.7</w:t>
                  </w:r>
                </w:p>
              </w:tc>
              <w:tc>
                <w:tcPr>
                  <w:tcW w:w="491" w:type="pct"/>
                  <w:noWrap w:val="0"/>
                  <w:vAlign w:val="center"/>
                </w:tcPr>
                <w:p w14:paraId="33F4376E">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44.6</w:t>
                  </w:r>
                </w:p>
              </w:tc>
              <w:tc>
                <w:tcPr>
                  <w:tcW w:w="490" w:type="pct"/>
                  <w:noWrap w:val="0"/>
                  <w:vAlign w:val="center"/>
                </w:tcPr>
                <w:p w14:paraId="50280DE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65</w:t>
                  </w:r>
                </w:p>
              </w:tc>
              <w:tc>
                <w:tcPr>
                  <w:tcW w:w="492" w:type="pct"/>
                  <w:noWrap w:val="0"/>
                  <w:vAlign w:val="center"/>
                </w:tcPr>
                <w:p w14:paraId="190D90C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55</w:t>
                  </w:r>
                </w:p>
              </w:tc>
            </w:tr>
            <w:tr w14:paraId="54E406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noWrap w:val="0"/>
                  <w:vAlign w:val="center"/>
                </w:tcPr>
                <w:p w14:paraId="7336F7DE">
                  <w:pPr>
                    <w:spacing w:line="276" w:lineRule="auto"/>
                    <w:jc w:val="center"/>
                    <w:rPr>
                      <w:rFonts w:hint="default"/>
                      <w:b w:val="0"/>
                      <w:bCs/>
                      <w:color w:val="auto"/>
                      <w:kern w:val="2"/>
                      <w:sz w:val="21"/>
                      <w:szCs w:val="21"/>
                      <w:lang w:val="en-US" w:eastAsia="zh-CN" w:bidi="ar-SA"/>
                    </w:rPr>
                  </w:pPr>
                  <w:r>
                    <w:rPr>
                      <w:rFonts w:hint="eastAsia"/>
                      <w:b w:val="0"/>
                      <w:bCs/>
                      <w:color w:val="auto"/>
                      <w:sz w:val="21"/>
                      <w:szCs w:val="21"/>
                    </w:rPr>
                    <w:t>N4</w:t>
                  </w:r>
                </w:p>
              </w:tc>
              <w:tc>
                <w:tcPr>
                  <w:tcW w:w="1462" w:type="pct"/>
                  <w:noWrap w:val="0"/>
                  <w:vAlign w:val="center"/>
                </w:tcPr>
                <w:p w14:paraId="7E1AFE5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ascii="Times New Roman" w:hAnsi="Times New Roman" w:eastAsia="宋体" w:cs="Times New Roman"/>
                      <w:iCs/>
                      <w:color w:val="auto"/>
                      <w:sz w:val="21"/>
                      <w:szCs w:val="21"/>
                      <w:lang w:val="en-US" w:eastAsia="zh-CN"/>
                    </w:rPr>
                    <w:t>北面</w:t>
                  </w:r>
                  <w:r>
                    <w:rPr>
                      <w:rFonts w:hint="default" w:ascii="Times New Roman" w:hAnsi="Times New Roman" w:eastAsia="宋体" w:cs="Times New Roman"/>
                      <w:iCs/>
                      <w:color w:val="auto"/>
                      <w:sz w:val="21"/>
                      <w:szCs w:val="21"/>
                      <w:lang w:val="en-US" w:eastAsia="zh-CN"/>
                    </w:rPr>
                    <w:t>厂界外1米</w:t>
                  </w:r>
                  <w:r>
                    <w:rPr>
                      <w:rFonts w:hint="eastAsia" w:ascii="Times New Roman" w:hAnsi="Times New Roman" w:eastAsia="宋体" w:cs="Times New Roman"/>
                      <w:iCs/>
                      <w:color w:val="auto"/>
                      <w:sz w:val="21"/>
                      <w:szCs w:val="21"/>
                      <w:lang w:val="en-US" w:eastAsia="zh-CN"/>
                    </w:rPr>
                    <w:t>处</w:t>
                  </w:r>
                </w:p>
              </w:tc>
              <w:tc>
                <w:tcPr>
                  <w:tcW w:w="490" w:type="pct"/>
                  <w:noWrap w:val="0"/>
                  <w:vAlign w:val="center"/>
                </w:tcPr>
                <w:p w14:paraId="1E702839">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53.2</w:t>
                  </w:r>
                </w:p>
              </w:tc>
              <w:tc>
                <w:tcPr>
                  <w:tcW w:w="490" w:type="pct"/>
                  <w:noWrap w:val="0"/>
                  <w:vAlign w:val="center"/>
                </w:tcPr>
                <w:p w14:paraId="09801F22">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43.5</w:t>
                  </w:r>
                </w:p>
              </w:tc>
              <w:tc>
                <w:tcPr>
                  <w:tcW w:w="490" w:type="pct"/>
                  <w:noWrap w:val="0"/>
                  <w:vAlign w:val="center"/>
                </w:tcPr>
                <w:p w14:paraId="78383CE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52.5</w:t>
                  </w:r>
                </w:p>
              </w:tc>
              <w:tc>
                <w:tcPr>
                  <w:tcW w:w="491" w:type="pct"/>
                  <w:noWrap w:val="0"/>
                  <w:vAlign w:val="center"/>
                </w:tcPr>
                <w:p w14:paraId="0D79D96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default"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42.9</w:t>
                  </w:r>
                </w:p>
              </w:tc>
              <w:tc>
                <w:tcPr>
                  <w:tcW w:w="490" w:type="pct"/>
                  <w:noWrap w:val="0"/>
                  <w:vAlign w:val="center"/>
                </w:tcPr>
                <w:p w14:paraId="434835AC">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65</w:t>
                  </w:r>
                </w:p>
              </w:tc>
              <w:tc>
                <w:tcPr>
                  <w:tcW w:w="492" w:type="pct"/>
                  <w:noWrap w:val="0"/>
                  <w:vAlign w:val="center"/>
                </w:tcPr>
                <w:p w14:paraId="5E030BD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outlineLvl w:val="9"/>
                    <w:rPr>
                      <w:rFonts w:hint="eastAsia" w:ascii="Times New Roman" w:hAnsi="Times New Roman" w:eastAsia="宋体" w:cs="Times New Roman"/>
                      <w:iCs/>
                      <w:color w:val="auto"/>
                      <w:sz w:val="21"/>
                      <w:szCs w:val="21"/>
                      <w:lang w:val="en-US" w:eastAsia="zh-CN"/>
                    </w:rPr>
                  </w:pPr>
                  <w:r>
                    <w:rPr>
                      <w:rFonts w:hint="eastAsia" w:cs="Times New Roman"/>
                      <w:iCs/>
                      <w:color w:val="auto"/>
                      <w:sz w:val="21"/>
                      <w:szCs w:val="21"/>
                      <w:lang w:val="en-US" w:eastAsia="zh-CN"/>
                    </w:rPr>
                    <w:t>55</w:t>
                  </w:r>
                </w:p>
              </w:tc>
            </w:tr>
          </w:tbl>
          <w:p w14:paraId="26CED89C">
            <w:pPr>
              <w:adjustRightInd/>
              <w:snapToGrid/>
              <w:spacing w:line="360" w:lineRule="auto"/>
              <w:ind w:firstLine="480" w:firstLineChars="200"/>
              <w:rPr>
                <w:color w:val="auto"/>
              </w:rPr>
            </w:pPr>
            <w:r>
              <w:rPr>
                <w:rFonts w:hint="default" w:ascii="Times New Roman" w:hAnsi="Times New Roman" w:eastAsia="宋体" w:cs="Times New Roman"/>
                <w:b w:val="0"/>
                <w:bCs w:val="0"/>
                <w:color w:val="auto"/>
                <w:sz w:val="24"/>
                <w:szCs w:val="24"/>
              </w:rPr>
              <w:t>本次验收监测结果表明，项目厂界四周噪声昼间、夜间测量值均满足</w:t>
            </w:r>
            <w:r>
              <w:rPr>
                <w:rFonts w:hint="default" w:ascii="Times New Roman" w:hAnsi="Times New Roman" w:eastAsia="宋体" w:cs="Times New Roman"/>
                <w:b w:val="0"/>
                <w:bCs w:val="0"/>
                <w:color w:val="auto"/>
                <w:sz w:val="24"/>
                <w:szCs w:val="24"/>
                <w:lang w:eastAsia="zh-CN"/>
              </w:rPr>
              <w:t>《工业企业厂界环境噪声排放标准》(GB12348-2008)中</w:t>
            </w:r>
            <w:r>
              <w:rPr>
                <w:rFonts w:hint="eastAsia"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lang w:eastAsia="zh-CN"/>
              </w:rPr>
              <w:t>类标准。</w:t>
            </w:r>
          </w:p>
          <w:p w14:paraId="4959E0E1">
            <w:pPr>
              <w:pStyle w:val="32"/>
              <w:keepNext w:val="0"/>
              <w:keepLines w:val="0"/>
              <w:pageBreakBefore w:val="0"/>
              <w:widowControl w:val="0"/>
              <w:kinsoku/>
              <w:wordWrap/>
              <w:overflowPunct/>
              <w:topLinePunct w:val="0"/>
              <w:autoSpaceDE/>
              <w:autoSpaceDN/>
              <w:bidi w:val="0"/>
              <w:spacing w:after="0" w:line="360" w:lineRule="auto"/>
              <w:ind w:firstLine="0" w:firstLineChars="0"/>
              <w:jc w:val="left"/>
              <w:textAlignment w:val="auto"/>
              <w:rPr>
                <w:b/>
                <w:bCs/>
                <w:color w:val="auto"/>
                <w:sz w:val="24"/>
                <w:szCs w:val="24"/>
              </w:rPr>
            </w:pPr>
            <w:r>
              <w:rPr>
                <w:b/>
                <w:bCs/>
                <w:color w:val="auto"/>
                <w:sz w:val="24"/>
                <w:szCs w:val="24"/>
              </w:rPr>
              <w:t>7.2.4 废水排放监测结果及分析</w:t>
            </w:r>
          </w:p>
          <w:p w14:paraId="020077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color w:val="auto"/>
                <w:sz w:val="18"/>
                <w:szCs w:val="18"/>
              </w:rPr>
            </w:pPr>
            <w:r>
              <w:rPr>
                <w:color w:val="auto"/>
                <w:sz w:val="24"/>
                <w:szCs w:val="24"/>
              </w:rPr>
              <w:t>项目废水监测结果见下表。</w:t>
            </w:r>
          </w:p>
          <w:p w14:paraId="48FF65BE">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表7-6 废水监测结果一览表，单位：mg/L</w:t>
            </w:r>
          </w:p>
          <w:tbl>
            <w:tblPr>
              <w:tblStyle w:val="34"/>
              <w:tblW w:w="4997"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915"/>
              <w:gridCol w:w="1211"/>
              <w:gridCol w:w="1083"/>
              <w:gridCol w:w="1119"/>
              <w:gridCol w:w="1016"/>
              <w:gridCol w:w="952"/>
              <w:gridCol w:w="1054"/>
              <w:gridCol w:w="660"/>
            </w:tblGrid>
            <w:tr w14:paraId="364CA5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582" w:type="pct"/>
                  <w:tcBorders>
                    <w:top w:val="single" w:color="auto" w:sz="4" w:space="0"/>
                    <w:bottom w:val="single" w:color="auto" w:sz="4" w:space="0"/>
                    <w:right w:val="single" w:color="auto" w:sz="4" w:space="0"/>
                  </w:tcBorders>
                  <w:noWrap w:val="0"/>
                  <w:vAlign w:val="center"/>
                </w:tcPr>
                <w:p w14:paraId="74A4830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lang w:eastAsia="zh-CN"/>
                    </w:rPr>
                  </w:pPr>
                  <w:r>
                    <w:rPr>
                      <w:rFonts w:hint="default" w:ascii="Times New Roman" w:hAnsi="Times New Roman" w:eastAsia="宋体" w:cs="Times New Roman"/>
                      <w:iCs/>
                      <w:color w:val="auto"/>
                      <w:kern w:val="0"/>
                      <w:sz w:val="21"/>
                      <w:szCs w:val="21"/>
                      <w:lang w:eastAsia="zh-CN"/>
                    </w:rPr>
                    <w:t>监测时间</w:t>
                  </w:r>
                </w:p>
              </w:tc>
              <w:tc>
                <w:tcPr>
                  <w:tcW w:w="505" w:type="pct"/>
                  <w:tcBorders>
                    <w:top w:val="single" w:color="auto" w:sz="4" w:space="0"/>
                    <w:left w:val="single" w:color="auto" w:sz="4" w:space="0"/>
                    <w:bottom w:val="single" w:color="auto" w:sz="4" w:space="0"/>
                    <w:right w:val="single" w:color="auto" w:sz="4" w:space="0"/>
                  </w:tcBorders>
                  <w:noWrap w:val="0"/>
                  <w:vAlign w:val="center"/>
                </w:tcPr>
                <w:p w14:paraId="1A69A1E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default" w:ascii="Times New Roman" w:hAnsi="Times New Roman" w:eastAsia="宋体" w:cs="Times New Roman"/>
                      <w:iCs/>
                      <w:color w:val="auto"/>
                      <w:kern w:val="0"/>
                      <w:sz w:val="21"/>
                      <w:szCs w:val="21"/>
                    </w:rPr>
                    <w:t>监测</w:t>
                  </w:r>
                </w:p>
                <w:p w14:paraId="775AFA62">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eastAsia" w:ascii="Times New Roman" w:hAnsi="Times New Roman" w:eastAsia="宋体" w:cs="Times New Roman"/>
                      <w:iCs/>
                      <w:color w:val="auto"/>
                      <w:kern w:val="0"/>
                      <w:sz w:val="21"/>
                      <w:szCs w:val="21"/>
                      <w:lang w:eastAsia="zh-CN"/>
                    </w:rPr>
                    <w:t>点位</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001FF35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default" w:ascii="Times New Roman" w:hAnsi="Times New Roman" w:eastAsia="宋体" w:cs="Times New Roman"/>
                      <w:iCs/>
                      <w:color w:val="auto"/>
                      <w:kern w:val="0"/>
                      <w:sz w:val="21"/>
                      <w:szCs w:val="21"/>
                    </w:rPr>
                    <w:t>监测</w:t>
                  </w:r>
                </w:p>
                <w:p w14:paraId="07A8431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default" w:ascii="Times New Roman" w:hAnsi="Times New Roman" w:eastAsia="宋体" w:cs="Times New Roman"/>
                      <w:iCs/>
                      <w:color w:val="auto"/>
                      <w:kern w:val="0"/>
                      <w:sz w:val="21"/>
                      <w:szCs w:val="21"/>
                    </w:rPr>
                    <w:t>项目</w:t>
                  </w:r>
                </w:p>
              </w:tc>
              <w:tc>
                <w:tcPr>
                  <w:tcW w:w="597" w:type="pct"/>
                  <w:tcBorders>
                    <w:top w:val="single" w:color="auto" w:sz="4" w:space="0"/>
                    <w:left w:val="single" w:color="auto" w:sz="4" w:space="0"/>
                    <w:bottom w:val="single" w:color="auto" w:sz="4" w:space="0"/>
                    <w:right w:val="single" w:color="auto" w:sz="4" w:space="0"/>
                  </w:tcBorders>
                  <w:noWrap w:val="0"/>
                  <w:vAlign w:val="center"/>
                </w:tcPr>
                <w:p w14:paraId="1908B2C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default" w:ascii="Times New Roman" w:hAnsi="Times New Roman" w:eastAsia="宋体" w:cs="Times New Roman"/>
                      <w:iCs/>
                      <w:color w:val="auto"/>
                      <w:kern w:val="0"/>
                      <w:sz w:val="21"/>
                      <w:szCs w:val="21"/>
                    </w:rPr>
                    <w:t>第一次</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7CE9225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default" w:ascii="Times New Roman" w:hAnsi="Times New Roman" w:eastAsia="宋体" w:cs="Times New Roman"/>
                      <w:iCs/>
                      <w:color w:val="auto"/>
                      <w:kern w:val="0"/>
                      <w:sz w:val="21"/>
                      <w:szCs w:val="21"/>
                    </w:rPr>
                    <w:t>第二次</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40EE2EA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default" w:ascii="Times New Roman" w:hAnsi="Times New Roman" w:eastAsia="宋体" w:cs="Times New Roman"/>
                      <w:iCs/>
                      <w:color w:val="auto"/>
                      <w:kern w:val="0"/>
                      <w:sz w:val="21"/>
                      <w:szCs w:val="21"/>
                    </w:rPr>
                    <w:t>第三次</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203CE14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default" w:ascii="Times New Roman" w:hAnsi="Times New Roman" w:eastAsia="宋体" w:cs="Times New Roman"/>
                      <w:iCs/>
                      <w:color w:val="auto"/>
                      <w:kern w:val="0"/>
                      <w:sz w:val="21"/>
                      <w:szCs w:val="21"/>
                    </w:rPr>
                    <w:t>第</w:t>
                  </w:r>
                  <w:r>
                    <w:rPr>
                      <w:rFonts w:hint="eastAsia" w:ascii="Times New Roman" w:hAnsi="Times New Roman" w:eastAsia="宋体" w:cs="Times New Roman"/>
                      <w:iCs/>
                      <w:color w:val="auto"/>
                      <w:kern w:val="0"/>
                      <w:sz w:val="21"/>
                      <w:szCs w:val="21"/>
                      <w:lang w:eastAsia="zh-CN"/>
                    </w:rPr>
                    <w:t>四</w:t>
                  </w:r>
                  <w:r>
                    <w:rPr>
                      <w:rFonts w:hint="default" w:ascii="Times New Roman" w:hAnsi="Times New Roman" w:eastAsia="宋体" w:cs="Times New Roman"/>
                      <w:iCs/>
                      <w:color w:val="auto"/>
                      <w:kern w:val="0"/>
                      <w:sz w:val="21"/>
                      <w:szCs w:val="21"/>
                    </w:rPr>
                    <w:t>次</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3E1608C8">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default" w:ascii="Times New Roman" w:hAnsi="Times New Roman" w:eastAsia="宋体" w:cs="Times New Roman"/>
                      <w:iCs/>
                      <w:color w:val="auto"/>
                      <w:kern w:val="0"/>
                      <w:sz w:val="21"/>
                      <w:szCs w:val="21"/>
                    </w:rPr>
                    <w:t>标准值</w:t>
                  </w:r>
                </w:p>
              </w:tc>
              <w:tc>
                <w:tcPr>
                  <w:tcW w:w="362" w:type="pct"/>
                  <w:tcBorders>
                    <w:top w:val="single" w:color="auto" w:sz="4" w:space="0"/>
                    <w:left w:val="single" w:color="auto" w:sz="4" w:space="0"/>
                    <w:bottom w:val="single" w:color="auto" w:sz="4" w:space="0"/>
                  </w:tcBorders>
                  <w:noWrap w:val="0"/>
                  <w:vAlign w:val="center"/>
                </w:tcPr>
                <w:p w14:paraId="2AE2830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Times New Roman" w:hAnsi="Times New Roman" w:eastAsia="宋体" w:cs="Times New Roman"/>
                      <w:iCs/>
                      <w:color w:val="auto"/>
                      <w:kern w:val="0"/>
                      <w:sz w:val="21"/>
                      <w:szCs w:val="21"/>
                      <w:lang w:eastAsia="zh-CN"/>
                    </w:rPr>
                  </w:pPr>
                  <w:r>
                    <w:rPr>
                      <w:rFonts w:hint="eastAsia" w:ascii="Times New Roman" w:hAnsi="Times New Roman" w:eastAsia="宋体" w:cs="Times New Roman"/>
                      <w:iCs/>
                      <w:color w:val="auto"/>
                      <w:kern w:val="0"/>
                      <w:sz w:val="21"/>
                      <w:szCs w:val="21"/>
                      <w:lang w:eastAsia="zh-CN"/>
                    </w:rPr>
                    <w:t>结果</w:t>
                  </w:r>
                </w:p>
                <w:p w14:paraId="34721EE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eastAsia" w:ascii="Times New Roman" w:hAnsi="Times New Roman" w:eastAsia="宋体" w:cs="Times New Roman"/>
                      <w:iCs/>
                      <w:color w:val="auto"/>
                      <w:kern w:val="0"/>
                      <w:sz w:val="21"/>
                      <w:szCs w:val="21"/>
                      <w:lang w:eastAsia="zh-CN"/>
                    </w:rPr>
                    <w:t>评价</w:t>
                  </w:r>
                </w:p>
              </w:tc>
            </w:tr>
            <w:tr w14:paraId="2F19E3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restart"/>
                  <w:tcBorders>
                    <w:right w:val="single" w:color="auto" w:sz="4" w:space="0"/>
                  </w:tcBorders>
                  <w:noWrap w:val="0"/>
                  <w:vAlign w:val="center"/>
                </w:tcPr>
                <w:p w14:paraId="5F73B5AA">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iCs/>
                      <w:color w:val="auto"/>
                      <w:kern w:val="0"/>
                      <w:sz w:val="21"/>
                      <w:szCs w:val="21"/>
                      <w:lang w:val="en-US" w:eastAsia="zh-CN"/>
                    </w:rPr>
                  </w:pPr>
                  <w:r>
                    <w:rPr>
                      <w:rFonts w:hint="eastAsia" w:cs="Times New Roman"/>
                      <w:b w:val="0"/>
                      <w:bCs w:val="0"/>
                      <w:color w:val="auto"/>
                      <w:sz w:val="21"/>
                      <w:szCs w:val="21"/>
                      <w:vertAlign w:val="baseline"/>
                      <w:lang w:val="en-US" w:eastAsia="zh-CN"/>
                    </w:rPr>
                    <w:t>2026.6.11</w:t>
                  </w:r>
                </w:p>
              </w:tc>
              <w:tc>
                <w:tcPr>
                  <w:tcW w:w="505" w:type="pct"/>
                  <w:vMerge w:val="restart"/>
                  <w:tcBorders>
                    <w:top w:val="single" w:color="auto" w:sz="4" w:space="0"/>
                    <w:left w:val="single" w:color="auto" w:sz="4" w:space="0"/>
                    <w:right w:val="single" w:color="auto" w:sz="4" w:space="0"/>
                  </w:tcBorders>
                  <w:noWrap w:val="0"/>
                  <w:vAlign w:val="center"/>
                </w:tcPr>
                <w:p w14:paraId="6F182DF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eastAsia" w:ascii="Times New Roman" w:hAnsi="Times New Roman" w:eastAsia="宋体" w:cs="Times New Roman"/>
                      <w:iCs/>
                      <w:color w:val="auto"/>
                      <w:kern w:val="0"/>
                      <w:sz w:val="21"/>
                      <w:szCs w:val="21"/>
                      <w:lang w:val="en-US" w:eastAsia="zh-CN"/>
                    </w:rPr>
                    <w:t>废水排放口</w:t>
                  </w:r>
                  <w:r>
                    <w:rPr>
                      <w:rFonts w:hint="eastAsia"/>
                      <w:b w:val="0"/>
                      <w:bCs w:val="0"/>
                      <w:color w:val="auto"/>
                      <w:sz w:val="21"/>
                      <w:szCs w:val="21"/>
                      <w:lang w:val="en-US" w:eastAsia="zh-CN"/>
                    </w:rPr>
                    <w:t>DW001</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6A6B4A54">
                  <w:pPr>
                    <w:pStyle w:val="138"/>
                    <w:spacing w:before="0" w:beforeAutospacing="0" w:after="0" w:afterAutospacing="0" w:line="240" w:lineRule="auto"/>
                    <w:jc w:val="center"/>
                    <w:outlineLvl w:val="0"/>
                    <w:rPr>
                      <w:rFonts w:hint="default" w:ascii="Times New Roman" w:hAnsi="Times New Roman" w:eastAsia="宋体" w:cs="Times New Roman"/>
                      <w:iCs/>
                      <w:color w:val="auto"/>
                      <w:kern w:val="0"/>
                      <w:sz w:val="21"/>
                      <w:szCs w:val="21"/>
                    </w:rPr>
                  </w:pPr>
                  <w:bookmarkStart w:id="9" w:name="_Toc22153"/>
                  <w:r>
                    <w:rPr>
                      <w:rFonts w:hint="eastAsia" w:ascii="Times New Roman" w:hAnsi="Times New Roman" w:eastAsia="宋体" w:cs="Times New Roman"/>
                      <w:color w:val="auto"/>
                      <w:sz w:val="21"/>
                      <w:szCs w:val="21"/>
                      <w:lang w:val="en-US" w:eastAsia="zh-CN"/>
                    </w:rPr>
                    <w:t>pH值</w:t>
                  </w:r>
                  <w:bookmarkEnd w:id="9"/>
                </w:p>
              </w:tc>
              <w:tc>
                <w:tcPr>
                  <w:tcW w:w="597" w:type="pct"/>
                  <w:tcBorders>
                    <w:top w:val="single" w:color="auto" w:sz="4" w:space="0"/>
                    <w:left w:val="single" w:color="auto" w:sz="4" w:space="0"/>
                    <w:bottom w:val="single" w:color="auto" w:sz="4" w:space="0"/>
                    <w:right w:val="single" w:color="auto" w:sz="4" w:space="0"/>
                  </w:tcBorders>
                  <w:noWrap w:val="0"/>
                  <w:vAlign w:val="center"/>
                </w:tcPr>
                <w:p w14:paraId="1CB4B76D">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Cs w:val="21"/>
                      <w:lang w:val="en-US" w:eastAsia="zh-CN"/>
                    </w:rPr>
                    <w:t>7.1</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691C85E3">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Cs w:val="21"/>
                      <w:lang w:val="en-US" w:eastAsia="zh-CN"/>
                    </w:rPr>
                    <w:t>7.3</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130C707B">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Cs w:val="21"/>
                      <w:lang w:val="en-US" w:eastAsia="zh-CN"/>
                    </w:rPr>
                    <w:t>6.9</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393A1E8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Cs w:val="21"/>
                      <w:lang w:val="en-US" w:eastAsia="zh-CN"/>
                    </w:rPr>
                    <w:t>7.2</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2E1ECA36">
                  <w:pPr>
                    <w:jc w:val="center"/>
                    <w:rPr>
                      <w:rFonts w:hint="default"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color w:val="auto"/>
                      <w:szCs w:val="21"/>
                      <w:lang w:val="en-US" w:eastAsia="zh-CN"/>
                    </w:rPr>
                    <w:t>6~9</w:t>
                  </w:r>
                </w:p>
              </w:tc>
              <w:tc>
                <w:tcPr>
                  <w:tcW w:w="362" w:type="pct"/>
                  <w:tcBorders>
                    <w:top w:val="single" w:color="auto" w:sz="4" w:space="0"/>
                    <w:left w:val="single" w:color="auto" w:sz="4" w:space="0"/>
                    <w:bottom w:val="single" w:color="auto" w:sz="4" w:space="0"/>
                  </w:tcBorders>
                  <w:noWrap w:val="0"/>
                  <w:vAlign w:val="center"/>
                </w:tcPr>
                <w:p w14:paraId="1096DBCD">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7300442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091C1B2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68BE6C70">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Times New Roman" w:hAnsi="Times New Roman" w:eastAsia="宋体" w:cs="Times New Roman"/>
                      <w:iCs/>
                      <w:color w:val="auto"/>
                      <w:kern w:val="0"/>
                      <w:sz w:val="21"/>
                      <w:szCs w:val="21"/>
                      <w:lang w:val="en-US" w:eastAsia="zh-CN"/>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607A5F9D">
                  <w:pPr>
                    <w:pStyle w:val="138"/>
                    <w:spacing w:before="0" w:beforeAutospacing="0" w:after="0" w:afterAutospacing="0" w:line="240" w:lineRule="auto"/>
                    <w:jc w:val="center"/>
                    <w:outlineLvl w:val="0"/>
                    <w:rPr>
                      <w:rFonts w:hint="default" w:ascii="Times New Roman" w:hAnsi="Times New Roman" w:eastAsia="宋体" w:cs="Times New Roman"/>
                      <w:iCs/>
                      <w:color w:val="auto"/>
                      <w:kern w:val="0"/>
                      <w:sz w:val="21"/>
                      <w:szCs w:val="21"/>
                    </w:rPr>
                  </w:pPr>
                  <w:bookmarkStart w:id="10" w:name="_Toc32657"/>
                  <w:r>
                    <w:rPr>
                      <w:rFonts w:hint="eastAsia" w:ascii="Times New Roman" w:hAnsi="Times New Roman" w:eastAsia="宋体" w:cs="Times New Roman"/>
                      <w:color w:val="auto"/>
                      <w:sz w:val="21"/>
                      <w:szCs w:val="21"/>
                      <w:lang w:val="en-US" w:eastAsia="zh-CN"/>
                    </w:rPr>
                    <w:t>SS</w:t>
                  </w:r>
                  <w:bookmarkEnd w:id="10"/>
                </w:p>
              </w:tc>
              <w:tc>
                <w:tcPr>
                  <w:tcW w:w="597" w:type="pct"/>
                  <w:tcBorders>
                    <w:top w:val="single" w:color="auto" w:sz="4" w:space="0"/>
                    <w:left w:val="single" w:color="auto" w:sz="4" w:space="0"/>
                    <w:bottom w:val="single" w:color="auto" w:sz="4" w:space="0"/>
                    <w:right w:val="single" w:color="auto" w:sz="4" w:space="0"/>
                  </w:tcBorders>
                  <w:noWrap w:val="0"/>
                  <w:vAlign w:val="center"/>
                </w:tcPr>
                <w:p w14:paraId="79CF13D6">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46</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181CBD3C">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71</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16CF0303">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55</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4C9DBB51">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63</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23066657">
                  <w:pPr>
                    <w:keepNext w:val="0"/>
                    <w:keepLines w:val="0"/>
                    <w:widowControl/>
                    <w:suppressLineNumbers w:val="0"/>
                    <w:jc w:val="center"/>
                    <w:textAlignment w:val="center"/>
                    <w:rPr>
                      <w:rFonts w:hint="default" w:ascii="Times New Roman" w:hAnsi="Times New Roman" w:eastAsia="宋体" w:cs="Times New Roman"/>
                      <w:iCs/>
                      <w:color w:val="auto"/>
                      <w:kern w:val="0"/>
                      <w:sz w:val="21"/>
                      <w:szCs w:val="21"/>
                      <w:lang w:val="en-US" w:eastAsia="zh-CN"/>
                    </w:rPr>
                  </w:pPr>
                  <w:r>
                    <w:rPr>
                      <w:rFonts w:hint="eastAsia" w:eastAsia="宋体" w:cs="Times New Roman"/>
                      <w:color w:val="auto"/>
                      <w:szCs w:val="21"/>
                      <w:lang w:val="en-US" w:eastAsia="zh-CN"/>
                    </w:rPr>
                    <w:t>350</w:t>
                  </w:r>
                </w:p>
              </w:tc>
              <w:tc>
                <w:tcPr>
                  <w:tcW w:w="362" w:type="pct"/>
                  <w:tcBorders>
                    <w:top w:val="single" w:color="auto" w:sz="4" w:space="0"/>
                    <w:left w:val="single" w:color="auto" w:sz="4" w:space="0"/>
                    <w:bottom w:val="single" w:color="auto" w:sz="4" w:space="0"/>
                  </w:tcBorders>
                  <w:noWrap w:val="0"/>
                  <w:vAlign w:val="center"/>
                </w:tcPr>
                <w:p w14:paraId="6E0657DD">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04134E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260760C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65C11EA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Times New Roman" w:hAnsi="Times New Roman" w:eastAsia="宋体" w:cs="Times New Roman"/>
                      <w:iCs/>
                      <w:color w:val="auto"/>
                      <w:kern w:val="0"/>
                      <w:sz w:val="21"/>
                      <w:szCs w:val="21"/>
                      <w:lang w:val="en-US" w:eastAsia="zh-CN"/>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73D7B648">
                  <w:pPr>
                    <w:pStyle w:val="138"/>
                    <w:spacing w:before="0" w:beforeAutospacing="0" w:after="0" w:afterAutospacing="0" w:line="240" w:lineRule="auto"/>
                    <w:jc w:val="center"/>
                    <w:outlineLvl w:val="0"/>
                    <w:rPr>
                      <w:rFonts w:hint="default" w:ascii="Times New Roman" w:hAnsi="Times New Roman" w:eastAsia="宋体" w:cs="Times New Roman"/>
                      <w:iCs/>
                      <w:color w:val="auto"/>
                      <w:kern w:val="0"/>
                      <w:sz w:val="21"/>
                      <w:szCs w:val="21"/>
                    </w:rPr>
                  </w:pPr>
                  <w:bookmarkStart w:id="11" w:name="_Toc14336"/>
                  <w:r>
                    <w:rPr>
                      <w:rFonts w:hint="eastAsia" w:ascii="Times New Roman" w:hAnsi="Times New Roman" w:eastAsia="宋体" w:cs="Times New Roman"/>
                      <w:color w:val="auto"/>
                      <w:sz w:val="21"/>
                      <w:szCs w:val="21"/>
                      <w:lang w:val="en-US" w:eastAsia="zh-CN"/>
                    </w:rPr>
                    <w:t>COD</w:t>
                  </w:r>
                  <w:r>
                    <w:rPr>
                      <w:rFonts w:hint="eastAsia" w:ascii="Times New Roman" w:hAnsi="Times New Roman" w:eastAsia="宋体" w:cs="Times New Roman"/>
                      <w:color w:val="auto"/>
                      <w:sz w:val="21"/>
                      <w:szCs w:val="21"/>
                      <w:vertAlign w:val="subscript"/>
                      <w:lang w:val="en-US" w:eastAsia="zh-CN"/>
                    </w:rPr>
                    <w:t>Cr</w:t>
                  </w:r>
                  <w:bookmarkEnd w:id="11"/>
                </w:p>
              </w:tc>
              <w:tc>
                <w:tcPr>
                  <w:tcW w:w="597" w:type="pct"/>
                  <w:tcBorders>
                    <w:top w:val="single" w:color="auto" w:sz="4" w:space="0"/>
                    <w:left w:val="single" w:color="auto" w:sz="4" w:space="0"/>
                    <w:bottom w:val="single" w:color="auto" w:sz="4" w:space="0"/>
                    <w:right w:val="single" w:color="auto" w:sz="4" w:space="0"/>
                  </w:tcBorders>
                  <w:noWrap w:val="0"/>
                  <w:vAlign w:val="center"/>
                </w:tcPr>
                <w:p w14:paraId="0EAFBA7A">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121</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0F88040D">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105</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0533906B">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117</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22E80D12">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101</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079281A5">
                  <w:pPr>
                    <w:keepNext w:val="0"/>
                    <w:keepLines w:val="0"/>
                    <w:widowControl/>
                    <w:suppressLineNumbers w:val="0"/>
                    <w:jc w:val="center"/>
                    <w:textAlignment w:val="center"/>
                    <w:rPr>
                      <w:rFonts w:hint="default" w:ascii="Times New Roman" w:hAnsi="Times New Roman" w:eastAsia="宋体" w:cs="Times New Roman"/>
                      <w:iCs/>
                      <w:color w:val="auto"/>
                      <w:kern w:val="0"/>
                      <w:sz w:val="21"/>
                      <w:szCs w:val="21"/>
                      <w:lang w:val="en-US" w:eastAsia="zh-CN"/>
                    </w:rPr>
                  </w:pPr>
                  <w:r>
                    <w:rPr>
                      <w:rFonts w:hint="eastAsia" w:eastAsia="宋体" w:cs="Times New Roman"/>
                      <w:color w:val="auto"/>
                      <w:szCs w:val="21"/>
                      <w:lang w:val="en-US" w:eastAsia="zh-CN"/>
                    </w:rPr>
                    <w:t>400</w:t>
                  </w:r>
                </w:p>
              </w:tc>
              <w:tc>
                <w:tcPr>
                  <w:tcW w:w="362" w:type="pct"/>
                  <w:tcBorders>
                    <w:top w:val="single" w:color="auto" w:sz="4" w:space="0"/>
                    <w:left w:val="single" w:color="auto" w:sz="4" w:space="0"/>
                    <w:bottom w:val="single" w:color="auto" w:sz="4" w:space="0"/>
                  </w:tcBorders>
                  <w:noWrap w:val="0"/>
                  <w:vAlign w:val="center"/>
                </w:tcPr>
                <w:p w14:paraId="2C43B28B">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06E90F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6A2DA201">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69DCC71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Times New Roman" w:hAnsi="Times New Roman" w:eastAsia="宋体" w:cs="Times New Roman"/>
                      <w:iCs/>
                      <w:color w:val="auto"/>
                      <w:kern w:val="0"/>
                      <w:sz w:val="21"/>
                      <w:szCs w:val="21"/>
                      <w:lang w:val="en-US" w:eastAsia="zh-CN"/>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6DBE0D69">
                  <w:pPr>
                    <w:pStyle w:val="138"/>
                    <w:spacing w:before="0" w:beforeAutospacing="0" w:after="0" w:afterAutospacing="0" w:line="240" w:lineRule="auto"/>
                    <w:jc w:val="center"/>
                    <w:outlineLvl w:val="0"/>
                    <w:rPr>
                      <w:rFonts w:hint="default" w:ascii="Times New Roman" w:hAnsi="Times New Roman" w:eastAsia="宋体" w:cs="Times New Roman"/>
                      <w:iCs/>
                      <w:color w:val="auto"/>
                      <w:kern w:val="0"/>
                      <w:sz w:val="21"/>
                      <w:szCs w:val="21"/>
                    </w:rPr>
                  </w:pPr>
                  <w:bookmarkStart w:id="12" w:name="_Toc2793"/>
                  <w:r>
                    <w:rPr>
                      <w:rFonts w:hint="eastAsia" w:ascii="Times New Roman" w:hAnsi="Times New Roman" w:eastAsia="宋体" w:cs="Times New Roman"/>
                      <w:color w:val="auto"/>
                      <w:sz w:val="21"/>
                      <w:szCs w:val="21"/>
                      <w:lang w:val="en-US" w:eastAsia="zh-CN"/>
                    </w:rPr>
                    <w:t>BOD</w:t>
                  </w:r>
                  <w:r>
                    <w:rPr>
                      <w:rFonts w:hint="eastAsia" w:ascii="Times New Roman" w:hAnsi="Times New Roman" w:eastAsia="宋体" w:cs="Times New Roman"/>
                      <w:color w:val="auto"/>
                      <w:sz w:val="21"/>
                      <w:szCs w:val="21"/>
                      <w:vertAlign w:val="subscript"/>
                      <w:lang w:val="en-US" w:eastAsia="zh-CN"/>
                    </w:rPr>
                    <w:t>5</w:t>
                  </w:r>
                  <w:bookmarkEnd w:id="12"/>
                </w:p>
              </w:tc>
              <w:tc>
                <w:tcPr>
                  <w:tcW w:w="597" w:type="pct"/>
                  <w:tcBorders>
                    <w:top w:val="single" w:color="auto" w:sz="4" w:space="0"/>
                    <w:left w:val="single" w:color="auto" w:sz="4" w:space="0"/>
                    <w:bottom w:val="single" w:color="auto" w:sz="4" w:space="0"/>
                    <w:right w:val="single" w:color="auto" w:sz="4" w:space="0"/>
                  </w:tcBorders>
                  <w:noWrap w:val="0"/>
                  <w:vAlign w:val="center"/>
                </w:tcPr>
                <w:p w14:paraId="099C842D">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40.3</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5A11FA1F">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35.1</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754BA375">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39.6</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0ED9DBE2">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33.7</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158CBF5F">
                  <w:pPr>
                    <w:keepNext w:val="0"/>
                    <w:keepLines w:val="0"/>
                    <w:widowControl/>
                    <w:suppressLineNumbers w:val="0"/>
                    <w:jc w:val="center"/>
                    <w:textAlignment w:val="center"/>
                    <w:rPr>
                      <w:rFonts w:hint="default" w:ascii="Times New Roman" w:hAnsi="Times New Roman" w:eastAsia="宋体" w:cs="Times New Roman"/>
                      <w:iCs/>
                      <w:color w:val="auto"/>
                      <w:kern w:val="0"/>
                      <w:sz w:val="21"/>
                      <w:szCs w:val="21"/>
                      <w:lang w:val="en-US" w:eastAsia="zh-CN"/>
                    </w:rPr>
                  </w:pPr>
                  <w:r>
                    <w:rPr>
                      <w:rFonts w:hint="eastAsia" w:eastAsia="宋体" w:cs="Times New Roman"/>
                      <w:color w:val="auto"/>
                      <w:szCs w:val="21"/>
                      <w:lang w:val="en-US" w:eastAsia="zh-CN"/>
                    </w:rPr>
                    <w:t>250</w:t>
                  </w:r>
                </w:p>
              </w:tc>
              <w:tc>
                <w:tcPr>
                  <w:tcW w:w="362" w:type="pct"/>
                  <w:tcBorders>
                    <w:top w:val="single" w:color="auto" w:sz="4" w:space="0"/>
                    <w:left w:val="single" w:color="auto" w:sz="4" w:space="0"/>
                    <w:bottom w:val="single" w:color="auto" w:sz="4" w:space="0"/>
                  </w:tcBorders>
                  <w:noWrap w:val="0"/>
                  <w:vAlign w:val="center"/>
                </w:tcPr>
                <w:p w14:paraId="2B8290E9">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119ABE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104018BA">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30DC1D3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34591B81">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default" w:ascii="Times New Roman" w:hAnsi="Times New Roman" w:eastAsia="宋体" w:cs="Times New Roman"/>
                      <w:iCs/>
                      <w:color w:val="auto"/>
                      <w:kern w:val="0"/>
                      <w:sz w:val="21"/>
                      <w:szCs w:val="21"/>
                    </w:rPr>
                  </w:pPr>
                  <w:r>
                    <w:rPr>
                      <w:rFonts w:hint="eastAsia" w:ascii="Times New Roman" w:hAnsi="Times New Roman" w:eastAsia="宋体" w:cs="Times New Roman"/>
                      <w:color w:val="auto"/>
                      <w:sz w:val="21"/>
                      <w:szCs w:val="21"/>
                      <w:lang w:val="en-US" w:eastAsia="zh-CN" w:bidi="ar-SA"/>
                    </w:rPr>
                    <w:t>氨氮</w:t>
                  </w:r>
                </w:p>
              </w:tc>
              <w:tc>
                <w:tcPr>
                  <w:tcW w:w="597" w:type="pct"/>
                  <w:tcBorders>
                    <w:top w:val="single" w:color="auto" w:sz="4" w:space="0"/>
                    <w:left w:val="single" w:color="auto" w:sz="4" w:space="0"/>
                    <w:bottom w:val="single" w:color="auto" w:sz="4" w:space="0"/>
                    <w:right w:val="single" w:color="auto" w:sz="4" w:space="0"/>
                  </w:tcBorders>
                  <w:noWrap w:val="0"/>
                  <w:vAlign w:val="center"/>
                </w:tcPr>
                <w:p w14:paraId="022EF2E7">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3.16</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3AB1CF21">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5.04</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0D6D7EC5">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2.86</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044DDF31">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4.11</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03FB9A37">
                  <w:pPr>
                    <w:keepNext w:val="0"/>
                    <w:keepLines w:val="0"/>
                    <w:widowControl/>
                    <w:suppressLineNumbers w:val="0"/>
                    <w:jc w:val="center"/>
                    <w:textAlignment w:val="center"/>
                    <w:rPr>
                      <w:rFonts w:hint="default" w:ascii="Times New Roman" w:hAnsi="Times New Roman" w:eastAsia="宋体" w:cs="Times New Roman"/>
                      <w:iCs/>
                      <w:color w:val="auto"/>
                      <w:kern w:val="0"/>
                      <w:sz w:val="21"/>
                      <w:szCs w:val="21"/>
                      <w:lang w:val="en-US" w:eastAsia="zh-CN"/>
                    </w:rPr>
                  </w:pPr>
                  <w:r>
                    <w:rPr>
                      <w:rFonts w:hint="eastAsia" w:eastAsia="宋体" w:cs="Times New Roman"/>
                      <w:color w:val="auto"/>
                      <w:szCs w:val="21"/>
                      <w:lang w:val="en-US" w:eastAsia="zh-CN"/>
                    </w:rPr>
                    <w:t>40</w:t>
                  </w:r>
                </w:p>
              </w:tc>
              <w:tc>
                <w:tcPr>
                  <w:tcW w:w="362" w:type="pct"/>
                  <w:tcBorders>
                    <w:top w:val="single" w:color="auto" w:sz="4" w:space="0"/>
                    <w:left w:val="single" w:color="auto" w:sz="4" w:space="0"/>
                    <w:bottom w:val="single" w:color="auto" w:sz="4" w:space="0"/>
                  </w:tcBorders>
                  <w:noWrap w:val="0"/>
                  <w:vAlign w:val="center"/>
                </w:tcPr>
                <w:p w14:paraId="2B7DEE1E">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default"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79E456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6AAEFD8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7B9B4776">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4BDB8177">
                  <w:pPr>
                    <w:tabs>
                      <w:tab w:val="left" w:pos="2100"/>
                    </w:tabs>
                    <w:spacing w:line="320" w:lineRule="exact"/>
                    <w:jc w:val="center"/>
                    <w:textAlignment w:val="baseline"/>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动植物油</w:t>
                  </w:r>
                </w:p>
              </w:tc>
              <w:tc>
                <w:tcPr>
                  <w:tcW w:w="597" w:type="pct"/>
                  <w:tcBorders>
                    <w:top w:val="single" w:color="auto" w:sz="4" w:space="0"/>
                    <w:left w:val="single" w:color="auto" w:sz="4" w:space="0"/>
                    <w:bottom w:val="single" w:color="auto" w:sz="4" w:space="0"/>
                    <w:right w:val="single" w:color="auto" w:sz="4" w:space="0"/>
                  </w:tcBorders>
                  <w:noWrap w:val="0"/>
                  <w:vAlign w:val="center"/>
                </w:tcPr>
                <w:p w14:paraId="5A933851">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0.36</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0C6EBA7F">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0.44</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440900B5">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0.28</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05D7A6D4">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0.31</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072958B3">
                  <w:pPr>
                    <w:keepNext w:val="0"/>
                    <w:keepLines w:val="0"/>
                    <w:widowControl/>
                    <w:suppressLineNumbers w:val="0"/>
                    <w:jc w:val="center"/>
                    <w:textAlignment w:val="center"/>
                    <w:rPr>
                      <w:rFonts w:hint="eastAsia" w:ascii="Times New Roman" w:hAnsi="Times New Roman" w:eastAsia="宋体" w:cs="Times New Roman"/>
                      <w:iCs/>
                      <w:color w:val="auto"/>
                      <w:kern w:val="0"/>
                      <w:sz w:val="21"/>
                      <w:szCs w:val="21"/>
                      <w:lang w:val="en-US" w:eastAsia="zh-CN"/>
                    </w:rPr>
                  </w:pPr>
                  <w:r>
                    <w:rPr>
                      <w:rFonts w:hint="eastAsia" w:ascii="Times New Roman" w:hAnsi="Times New Roman" w:cs="Times New Roman"/>
                      <w:color w:val="auto"/>
                      <w:sz w:val="21"/>
                      <w:szCs w:val="21"/>
                      <w:lang w:val="en-US" w:eastAsia="zh-CN"/>
                    </w:rPr>
                    <w:t>100</w:t>
                  </w:r>
                </w:p>
              </w:tc>
              <w:tc>
                <w:tcPr>
                  <w:tcW w:w="362" w:type="pct"/>
                  <w:tcBorders>
                    <w:top w:val="single" w:color="auto" w:sz="4" w:space="0"/>
                    <w:left w:val="single" w:color="auto" w:sz="4" w:space="0"/>
                    <w:bottom w:val="single" w:color="auto" w:sz="4" w:space="0"/>
                  </w:tcBorders>
                  <w:noWrap w:val="0"/>
                  <w:vAlign w:val="center"/>
                </w:tcPr>
                <w:p w14:paraId="2BE781A6">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7EFE1E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44A13C7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64D52D5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62C5DF21">
                  <w:pPr>
                    <w:tabs>
                      <w:tab w:val="left" w:pos="2100"/>
                    </w:tabs>
                    <w:spacing w:line="320" w:lineRule="exact"/>
                    <w:jc w:val="center"/>
                    <w:textAlignment w:val="baseline"/>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总磷</w:t>
                  </w:r>
                </w:p>
              </w:tc>
              <w:tc>
                <w:tcPr>
                  <w:tcW w:w="597" w:type="pct"/>
                  <w:tcBorders>
                    <w:top w:val="single" w:color="auto" w:sz="4" w:space="0"/>
                    <w:left w:val="single" w:color="auto" w:sz="4" w:space="0"/>
                    <w:bottom w:val="single" w:color="auto" w:sz="4" w:space="0"/>
                    <w:right w:val="single" w:color="auto" w:sz="4" w:space="0"/>
                  </w:tcBorders>
                  <w:noWrap w:val="0"/>
                  <w:vAlign w:val="center"/>
                </w:tcPr>
                <w:p w14:paraId="799A24CF">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0.09</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2BCBD319">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0.13</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01F30262">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0.22</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72237F38">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0.15</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5FD32FAA">
                  <w:pPr>
                    <w:keepNext w:val="0"/>
                    <w:keepLines w:val="0"/>
                    <w:widowControl/>
                    <w:suppressLineNumbers w:val="0"/>
                    <w:jc w:val="center"/>
                    <w:textAlignment w:val="center"/>
                    <w:rPr>
                      <w:rFonts w:hint="default" w:ascii="Times New Roman" w:hAnsi="Times New Roman" w:eastAsia="宋体" w:cs="Times New Roman"/>
                      <w:iCs/>
                      <w:color w:val="auto"/>
                      <w:kern w:val="0"/>
                      <w:sz w:val="21"/>
                      <w:szCs w:val="21"/>
                      <w:lang w:val="en-US" w:eastAsia="zh-CN"/>
                    </w:rPr>
                  </w:pPr>
                  <w:r>
                    <w:rPr>
                      <w:rFonts w:hint="eastAsia" w:cs="Times New Roman"/>
                      <w:iCs/>
                      <w:color w:val="auto"/>
                      <w:kern w:val="0"/>
                      <w:sz w:val="21"/>
                      <w:szCs w:val="21"/>
                      <w:lang w:val="en-US" w:eastAsia="zh-CN"/>
                    </w:rPr>
                    <w:t>4</w:t>
                  </w:r>
                </w:p>
              </w:tc>
              <w:tc>
                <w:tcPr>
                  <w:tcW w:w="362" w:type="pct"/>
                  <w:tcBorders>
                    <w:top w:val="single" w:color="auto" w:sz="4" w:space="0"/>
                    <w:left w:val="single" w:color="auto" w:sz="4" w:space="0"/>
                    <w:bottom w:val="single" w:color="auto" w:sz="4" w:space="0"/>
                  </w:tcBorders>
                  <w:noWrap w:val="0"/>
                  <w:vAlign w:val="center"/>
                </w:tcPr>
                <w:p w14:paraId="2E01F363">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default"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7CB1C1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restart"/>
                  <w:tcBorders>
                    <w:right w:val="single" w:color="auto" w:sz="4" w:space="0"/>
                  </w:tcBorders>
                  <w:noWrap w:val="0"/>
                  <w:vAlign w:val="center"/>
                </w:tcPr>
                <w:p w14:paraId="4B0E72DD">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iCs/>
                      <w:color w:val="auto"/>
                      <w:kern w:val="0"/>
                      <w:sz w:val="21"/>
                      <w:szCs w:val="21"/>
                      <w:lang w:val="en-US"/>
                    </w:rPr>
                  </w:pPr>
                  <w:r>
                    <w:rPr>
                      <w:rFonts w:hint="eastAsia" w:cs="Times New Roman"/>
                      <w:b w:val="0"/>
                      <w:bCs w:val="0"/>
                      <w:color w:val="auto"/>
                      <w:sz w:val="21"/>
                      <w:szCs w:val="21"/>
                      <w:vertAlign w:val="baseline"/>
                      <w:lang w:val="en-US" w:eastAsia="zh-CN"/>
                    </w:rPr>
                    <w:t>2026.6.12</w:t>
                  </w:r>
                </w:p>
              </w:tc>
              <w:tc>
                <w:tcPr>
                  <w:tcW w:w="505" w:type="pct"/>
                  <w:vMerge w:val="restart"/>
                  <w:tcBorders>
                    <w:top w:val="single" w:color="auto" w:sz="4" w:space="0"/>
                    <w:left w:val="single" w:color="auto" w:sz="4" w:space="0"/>
                    <w:right w:val="single" w:color="auto" w:sz="4" w:space="0"/>
                  </w:tcBorders>
                  <w:noWrap w:val="0"/>
                  <w:vAlign w:val="center"/>
                </w:tcPr>
                <w:p w14:paraId="1A9F808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r>
                    <w:rPr>
                      <w:rFonts w:hint="eastAsia" w:ascii="Times New Roman" w:hAnsi="Times New Roman" w:eastAsia="宋体" w:cs="Times New Roman"/>
                      <w:iCs/>
                      <w:color w:val="auto"/>
                      <w:kern w:val="0"/>
                      <w:sz w:val="21"/>
                      <w:szCs w:val="21"/>
                      <w:lang w:val="en-US" w:eastAsia="zh-CN"/>
                    </w:rPr>
                    <w:t>废水排放口</w:t>
                  </w:r>
                  <w:r>
                    <w:rPr>
                      <w:rFonts w:hint="eastAsia"/>
                      <w:b w:val="0"/>
                      <w:bCs w:val="0"/>
                      <w:color w:val="auto"/>
                      <w:sz w:val="21"/>
                      <w:szCs w:val="21"/>
                      <w:lang w:val="en-US" w:eastAsia="zh-CN"/>
                    </w:rPr>
                    <w:t>DW001</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575132C0">
                  <w:pPr>
                    <w:pStyle w:val="138"/>
                    <w:spacing w:before="0" w:beforeAutospacing="0" w:after="0" w:afterAutospacing="0" w:line="240" w:lineRule="auto"/>
                    <w:jc w:val="center"/>
                    <w:outlineLvl w:val="0"/>
                    <w:rPr>
                      <w:rFonts w:hint="default" w:ascii="Times New Roman" w:hAnsi="Times New Roman" w:eastAsia="宋体" w:cs="Times New Roman"/>
                      <w:iCs/>
                      <w:color w:val="auto"/>
                      <w:kern w:val="0"/>
                      <w:sz w:val="21"/>
                      <w:szCs w:val="21"/>
                    </w:rPr>
                  </w:pPr>
                  <w:bookmarkStart w:id="13" w:name="_Toc1957"/>
                  <w:r>
                    <w:rPr>
                      <w:rFonts w:hint="eastAsia" w:ascii="Times New Roman" w:hAnsi="Times New Roman" w:eastAsia="宋体" w:cs="Times New Roman"/>
                      <w:color w:val="auto"/>
                      <w:sz w:val="21"/>
                      <w:szCs w:val="21"/>
                      <w:lang w:val="en-US" w:eastAsia="zh-CN"/>
                    </w:rPr>
                    <w:t>pH值</w:t>
                  </w:r>
                  <w:bookmarkEnd w:id="13"/>
                </w:p>
              </w:tc>
              <w:tc>
                <w:tcPr>
                  <w:tcW w:w="597" w:type="pct"/>
                  <w:tcBorders>
                    <w:top w:val="single" w:color="auto" w:sz="4" w:space="0"/>
                    <w:left w:val="single" w:color="auto" w:sz="4" w:space="0"/>
                    <w:bottom w:val="single" w:color="auto" w:sz="4" w:space="0"/>
                    <w:right w:val="single" w:color="auto" w:sz="4" w:space="0"/>
                  </w:tcBorders>
                  <w:noWrap w:val="0"/>
                  <w:vAlign w:val="center"/>
                </w:tcPr>
                <w:p w14:paraId="4F128CE8">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7.3</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7F30555E">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7.2</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4ACF32B1">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7.1</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15D8B3C3">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7.2</w:t>
                  </w:r>
                </w:p>
              </w:tc>
              <w:tc>
                <w:tcPr>
                  <w:tcW w:w="1054" w:type="dxa"/>
                  <w:tcBorders>
                    <w:top w:val="single" w:color="auto" w:sz="4" w:space="0"/>
                    <w:left w:val="single" w:color="auto" w:sz="4" w:space="0"/>
                    <w:bottom w:val="single" w:color="auto" w:sz="4" w:space="0"/>
                    <w:right w:val="single" w:color="auto" w:sz="4" w:space="0"/>
                  </w:tcBorders>
                  <w:noWrap w:val="0"/>
                  <w:vAlign w:val="center"/>
                </w:tcPr>
                <w:p w14:paraId="17A9DA9C">
                  <w:pPr>
                    <w:jc w:val="center"/>
                    <w:rPr>
                      <w:rFonts w:hint="default" w:ascii="Times New Roman" w:hAnsi="Times New Roman" w:eastAsia="宋体" w:cs="Times New Roman"/>
                      <w:iCs/>
                      <w:color w:val="auto"/>
                      <w:kern w:val="0"/>
                      <w:sz w:val="21"/>
                      <w:szCs w:val="21"/>
                      <w:lang w:val="en-US" w:eastAsia="zh-CN" w:bidi="ar-SA"/>
                    </w:rPr>
                  </w:pPr>
                  <w:r>
                    <w:rPr>
                      <w:rFonts w:hint="eastAsia" w:ascii="Times New Roman" w:hAnsi="Times New Roman" w:eastAsia="宋体" w:cs="Times New Roman"/>
                      <w:color w:val="auto"/>
                      <w:szCs w:val="21"/>
                      <w:lang w:val="en-US" w:eastAsia="zh-CN"/>
                    </w:rPr>
                    <w:t>6~9</w:t>
                  </w:r>
                </w:p>
              </w:tc>
              <w:tc>
                <w:tcPr>
                  <w:tcW w:w="660" w:type="dxa"/>
                  <w:tcBorders>
                    <w:top w:val="single" w:color="auto" w:sz="4" w:space="0"/>
                    <w:left w:val="single" w:color="auto" w:sz="4" w:space="0"/>
                    <w:bottom w:val="single" w:color="auto" w:sz="4" w:space="0"/>
                  </w:tcBorders>
                  <w:noWrap w:val="0"/>
                  <w:vAlign w:val="center"/>
                </w:tcPr>
                <w:p w14:paraId="4FC99C3D">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bidi="ar-SA"/>
                    </w:rPr>
                  </w:pPr>
                  <w:r>
                    <w:rPr>
                      <w:rFonts w:hint="eastAsia" w:ascii="Times New Roman" w:hAnsi="Times New Roman" w:eastAsia="宋体" w:cs="Times New Roman"/>
                      <w:iCs/>
                      <w:color w:val="auto"/>
                      <w:kern w:val="0"/>
                      <w:sz w:val="21"/>
                      <w:szCs w:val="21"/>
                      <w:lang w:val="en-US" w:eastAsia="zh-CN"/>
                    </w:rPr>
                    <w:t>达标</w:t>
                  </w:r>
                </w:p>
              </w:tc>
            </w:tr>
            <w:tr w14:paraId="4B48F1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2F7E15E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196BDC6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Times New Roman" w:hAnsi="Times New Roman" w:eastAsia="宋体" w:cs="Times New Roman"/>
                      <w:iCs/>
                      <w:color w:val="auto"/>
                      <w:kern w:val="0"/>
                      <w:sz w:val="21"/>
                      <w:szCs w:val="21"/>
                      <w:lang w:val="en-US" w:eastAsia="zh-CN"/>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2DE69E3A">
                  <w:pPr>
                    <w:pStyle w:val="138"/>
                    <w:spacing w:before="0" w:beforeAutospacing="0" w:after="0" w:afterAutospacing="0" w:line="240" w:lineRule="auto"/>
                    <w:jc w:val="center"/>
                    <w:outlineLvl w:val="0"/>
                    <w:rPr>
                      <w:rFonts w:hint="default" w:ascii="Times New Roman" w:hAnsi="Times New Roman" w:eastAsia="宋体" w:cs="Times New Roman"/>
                      <w:iCs/>
                      <w:color w:val="auto"/>
                      <w:kern w:val="0"/>
                      <w:sz w:val="21"/>
                      <w:szCs w:val="21"/>
                    </w:rPr>
                  </w:pPr>
                  <w:bookmarkStart w:id="14" w:name="_Toc8178"/>
                  <w:r>
                    <w:rPr>
                      <w:rFonts w:hint="eastAsia" w:ascii="Times New Roman" w:hAnsi="Times New Roman" w:eastAsia="宋体" w:cs="Times New Roman"/>
                      <w:color w:val="auto"/>
                      <w:sz w:val="21"/>
                      <w:szCs w:val="21"/>
                      <w:lang w:val="en-US" w:eastAsia="zh-CN"/>
                    </w:rPr>
                    <w:t>SS</w:t>
                  </w:r>
                  <w:bookmarkEnd w:id="14"/>
                </w:p>
              </w:tc>
              <w:tc>
                <w:tcPr>
                  <w:tcW w:w="597" w:type="pct"/>
                  <w:tcBorders>
                    <w:top w:val="single" w:color="auto" w:sz="4" w:space="0"/>
                    <w:left w:val="single" w:color="auto" w:sz="4" w:space="0"/>
                    <w:bottom w:val="single" w:color="auto" w:sz="4" w:space="0"/>
                    <w:right w:val="single" w:color="auto" w:sz="4" w:space="0"/>
                  </w:tcBorders>
                  <w:noWrap w:val="0"/>
                  <w:vAlign w:val="center"/>
                </w:tcPr>
                <w:p w14:paraId="5F9FD360">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52</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77478B03">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39</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6113A27F">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71</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4EF2FDBA">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49</w:t>
                  </w:r>
                </w:p>
              </w:tc>
              <w:tc>
                <w:tcPr>
                  <w:tcW w:w="1054" w:type="dxa"/>
                  <w:tcBorders>
                    <w:top w:val="single" w:color="auto" w:sz="4" w:space="0"/>
                    <w:left w:val="single" w:color="auto" w:sz="4" w:space="0"/>
                    <w:bottom w:val="single" w:color="auto" w:sz="4" w:space="0"/>
                    <w:right w:val="single" w:color="auto" w:sz="4" w:space="0"/>
                  </w:tcBorders>
                  <w:noWrap w:val="0"/>
                  <w:vAlign w:val="center"/>
                </w:tcPr>
                <w:p w14:paraId="2DD38E3C">
                  <w:pPr>
                    <w:keepNext w:val="0"/>
                    <w:keepLines w:val="0"/>
                    <w:widowControl/>
                    <w:suppressLineNumbers w:val="0"/>
                    <w:jc w:val="center"/>
                    <w:textAlignment w:val="center"/>
                    <w:rPr>
                      <w:rFonts w:hint="eastAsia" w:ascii="Times New Roman" w:hAnsi="Times New Roman" w:eastAsia="宋体" w:cs="Times New Roman"/>
                      <w:iCs/>
                      <w:color w:val="auto"/>
                      <w:kern w:val="0"/>
                      <w:sz w:val="21"/>
                      <w:szCs w:val="21"/>
                      <w:lang w:val="en-US" w:eastAsia="zh-CN" w:bidi="ar-SA"/>
                    </w:rPr>
                  </w:pPr>
                  <w:r>
                    <w:rPr>
                      <w:rFonts w:hint="eastAsia" w:eastAsia="宋体" w:cs="Times New Roman"/>
                      <w:color w:val="auto"/>
                      <w:szCs w:val="21"/>
                      <w:lang w:val="en-US" w:eastAsia="zh-CN"/>
                    </w:rPr>
                    <w:t>350</w:t>
                  </w:r>
                </w:p>
              </w:tc>
              <w:tc>
                <w:tcPr>
                  <w:tcW w:w="660" w:type="dxa"/>
                  <w:tcBorders>
                    <w:top w:val="single" w:color="auto" w:sz="4" w:space="0"/>
                    <w:left w:val="single" w:color="auto" w:sz="4" w:space="0"/>
                    <w:bottom w:val="single" w:color="auto" w:sz="4" w:space="0"/>
                  </w:tcBorders>
                  <w:noWrap w:val="0"/>
                  <w:vAlign w:val="center"/>
                </w:tcPr>
                <w:p w14:paraId="0D770713">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bidi="ar-SA"/>
                    </w:rPr>
                  </w:pPr>
                  <w:r>
                    <w:rPr>
                      <w:rFonts w:hint="eastAsia" w:ascii="Times New Roman" w:hAnsi="Times New Roman" w:eastAsia="宋体" w:cs="Times New Roman"/>
                      <w:iCs/>
                      <w:color w:val="auto"/>
                      <w:kern w:val="0"/>
                      <w:sz w:val="21"/>
                      <w:szCs w:val="21"/>
                      <w:lang w:val="en-US" w:eastAsia="zh-CN"/>
                    </w:rPr>
                    <w:t>达标</w:t>
                  </w:r>
                </w:p>
              </w:tc>
            </w:tr>
            <w:tr w14:paraId="598EA7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74679DE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664AA06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Times New Roman" w:hAnsi="Times New Roman" w:eastAsia="宋体" w:cs="Times New Roman"/>
                      <w:iCs/>
                      <w:color w:val="auto"/>
                      <w:kern w:val="0"/>
                      <w:sz w:val="21"/>
                      <w:szCs w:val="21"/>
                      <w:lang w:val="en-US" w:eastAsia="zh-CN"/>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3254AB98">
                  <w:pPr>
                    <w:pStyle w:val="138"/>
                    <w:spacing w:before="0" w:beforeAutospacing="0" w:after="0" w:afterAutospacing="0" w:line="240" w:lineRule="auto"/>
                    <w:jc w:val="center"/>
                    <w:outlineLvl w:val="0"/>
                    <w:rPr>
                      <w:rFonts w:hint="default" w:ascii="Times New Roman" w:hAnsi="Times New Roman" w:eastAsia="宋体" w:cs="Times New Roman"/>
                      <w:iCs/>
                      <w:color w:val="auto"/>
                      <w:kern w:val="0"/>
                      <w:sz w:val="21"/>
                      <w:szCs w:val="21"/>
                    </w:rPr>
                  </w:pPr>
                  <w:bookmarkStart w:id="15" w:name="_Toc2034"/>
                  <w:r>
                    <w:rPr>
                      <w:rFonts w:hint="eastAsia" w:ascii="Times New Roman" w:hAnsi="Times New Roman" w:eastAsia="宋体" w:cs="Times New Roman"/>
                      <w:color w:val="auto"/>
                      <w:sz w:val="21"/>
                      <w:szCs w:val="21"/>
                      <w:lang w:val="en-US" w:eastAsia="zh-CN"/>
                    </w:rPr>
                    <w:t>COD</w:t>
                  </w:r>
                  <w:r>
                    <w:rPr>
                      <w:rFonts w:hint="eastAsia" w:ascii="Times New Roman" w:hAnsi="Times New Roman" w:eastAsia="宋体" w:cs="Times New Roman"/>
                      <w:color w:val="auto"/>
                      <w:sz w:val="21"/>
                      <w:szCs w:val="21"/>
                      <w:vertAlign w:val="subscript"/>
                      <w:lang w:val="en-US" w:eastAsia="zh-CN"/>
                    </w:rPr>
                    <w:t>Cr</w:t>
                  </w:r>
                  <w:bookmarkEnd w:id="15"/>
                </w:p>
              </w:tc>
              <w:tc>
                <w:tcPr>
                  <w:tcW w:w="597" w:type="pct"/>
                  <w:tcBorders>
                    <w:top w:val="single" w:color="auto" w:sz="4" w:space="0"/>
                    <w:left w:val="single" w:color="auto" w:sz="4" w:space="0"/>
                    <w:bottom w:val="single" w:color="auto" w:sz="4" w:space="0"/>
                    <w:right w:val="single" w:color="auto" w:sz="4" w:space="0"/>
                  </w:tcBorders>
                  <w:noWrap w:val="0"/>
                  <w:vAlign w:val="center"/>
                </w:tcPr>
                <w:p w14:paraId="7A674BF7">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98</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20649623">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128</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31E7213B">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101</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25DC3309">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119</w:t>
                  </w:r>
                </w:p>
              </w:tc>
              <w:tc>
                <w:tcPr>
                  <w:tcW w:w="1054" w:type="dxa"/>
                  <w:tcBorders>
                    <w:top w:val="single" w:color="auto" w:sz="4" w:space="0"/>
                    <w:left w:val="single" w:color="auto" w:sz="4" w:space="0"/>
                    <w:bottom w:val="single" w:color="auto" w:sz="4" w:space="0"/>
                    <w:right w:val="single" w:color="auto" w:sz="4" w:space="0"/>
                  </w:tcBorders>
                  <w:noWrap w:val="0"/>
                  <w:vAlign w:val="center"/>
                </w:tcPr>
                <w:p w14:paraId="57CAA1CA">
                  <w:pPr>
                    <w:keepNext w:val="0"/>
                    <w:keepLines w:val="0"/>
                    <w:widowControl/>
                    <w:suppressLineNumbers w:val="0"/>
                    <w:jc w:val="center"/>
                    <w:textAlignment w:val="center"/>
                    <w:rPr>
                      <w:rFonts w:hint="eastAsia" w:ascii="Times New Roman" w:hAnsi="Times New Roman" w:eastAsia="宋体" w:cs="Times New Roman"/>
                      <w:iCs/>
                      <w:color w:val="auto"/>
                      <w:kern w:val="0"/>
                      <w:sz w:val="21"/>
                      <w:szCs w:val="21"/>
                      <w:lang w:val="en-US" w:eastAsia="zh-CN" w:bidi="ar-SA"/>
                    </w:rPr>
                  </w:pPr>
                  <w:r>
                    <w:rPr>
                      <w:rFonts w:hint="eastAsia" w:eastAsia="宋体" w:cs="Times New Roman"/>
                      <w:color w:val="auto"/>
                      <w:szCs w:val="21"/>
                      <w:lang w:val="en-US" w:eastAsia="zh-CN"/>
                    </w:rPr>
                    <w:t>400</w:t>
                  </w:r>
                </w:p>
              </w:tc>
              <w:tc>
                <w:tcPr>
                  <w:tcW w:w="660" w:type="dxa"/>
                  <w:tcBorders>
                    <w:top w:val="single" w:color="auto" w:sz="4" w:space="0"/>
                    <w:left w:val="single" w:color="auto" w:sz="4" w:space="0"/>
                    <w:bottom w:val="single" w:color="auto" w:sz="4" w:space="0"/>
                  </w:tcBorders>
                  <w:noWrap w:val="0"/>
                  <w:vAlign w:val="center"/>
                </w:tcPr>
                <w:p w14:paraId="4B78120B">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bidi="ar-SA"/>
                    </w:rPr>
                  </w:pPr>
                  <w:r>
                    <w:rPr>
                      <w:rFonts w:hint="eastAsia" w:ascii="Times New Roman" w:hAnsi="Times New Roman" w:eastAsia="宋体" w:cs="Times New Roman"/>
                      <w:iCs/>
                      <w:color w:val="auto"/>
                      <w:kern w:val="0"/>
                      <w:sz w:val="21"/>
                      <w:szCs w:val="21"/>
                      <w:lang w:val="en-US" w:eastAsia="zh-CN"/>
                    </w:rPr>
                    <w:t>达标</w:t>
                  </w:r>
                </w:p>
              </w:tc>
            </w:tr>
            <w:tr w14:paraId="637F5B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2E3E183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7614237C">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Times New Roman" w:hAnsi="Times New Roman" w:eastAsia="宋体" w:cs="Times New Roman"/>
                      <w:iCs/>
                      <w:color w:val="auto"/>
                      <w:kern w:val="0"/>
                      <w:sz w:val="21"/>
                      <w:szCs w:val="21"/>
                      <w:lang w:val="en-US" w:eastAsia="zh-CN"/>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7094BB16">
                  <w:pPr>
                    <w:pStyle w:val="138"/>
                    <w:spacing w:before="0" w:beforeAutospacing="0" w:after="0" w:afterAutospacing="0" w:line="240" w:lineRule="auto"/>
                    <w:jc w:val="center"/>
                    <w:outlineLvl w:val="0"/>
                    <w:rPr>
                      <w:rFonts w:hint="default" w:ascii="Times New Roman" w:hAnsi="Times New Roman" w:eastAsia="宋体" w:cs="Times New Roman"/>
                      <w:iCs/>
                      <w:color w:val="auto"/>
                      <w:kern w:val="0"/>
                      <w:sz w:val="21"/>
                      <w:szCs w:val="21"/>
                    </w:rPr>
                  </w:pPr>
                  <w:bookmarkStart w:id="16" w:name="_Toc5632"/>
                  <w:r>
                    <w:rPr>
                      <w:rFonts w:hint="eastAsia" w:ascii="Times New Roman" w:hAnsi="Times New Roman" w:eastAsia="宋体" w:cs="Times New Roman"/>
                      <w:color w:val="auto"/>
                      <w:sz w:val="21"/>
                      <w:szCs w:val="21"/>
                      <w:lang w:val="en-US" w:eastAsia="zh-CN"/>
                    </w:rPr>
                    <w:t>BOD</w:t>
                  </w:r>
                  <w:r>
                    <w:rPr>
                      <w:rFonts w:hint="eastAsia" w:ascii="Times New Roman" w:hAnsi="Times New Roman" w:eastAsia="宋体" w:cs="Times New Roman"/>
                      <w:color w:val="auto"/>
                      <w:sz w:val="21"/>
                      <w:szCs w:val="21"/>
                      <w:vertAlign w:val="subscript"/>
                      <w:lang w:val="en-US" w:eastAsia="zh-CN"/>
                    </w:rPr>
                    <w:t>5</w:t>
                  </w:r>
                  <w:bookmarkEnd w:id="16"/>
                </w:p>
              </w:tc>
              <w:tc>
                <w:tcPr>
                  <w:tcW w:w="597" w:type="pct"/>
                  <w:tcBorders>
                    <w:top w:val="single" w:color="auto" w:sz="4" w:space="0"/>
                    <w:left w:val="single" w:color="auto" w:sz="4" w:space="0"/>
                    <w:bottom w:val="single" w:color="auto" w:sz="4" w:space="0"/>
                    <w:right w:val="single" w:color="auto" w:sz="4" w:space="0"/>
                  </w:tcBorders>
                  <w:noWrap w:val="0"/>
                  <w:vAlign w:val="center"/>
                </w:tcPr>
                <w:p w14:paraId="5F33A6A3">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32.5</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2189171F">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42.7</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0DDE09E6">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33.7</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3C3C6529">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39.2</w:t>
                  </w:r>
                </w:p>
              </w:tc>
              <w:tc>
                <w:tcPr>
                  <w:tcW w:w="1054" w:type="dxa"/>
                  <w:tcBorders>
                    <w:top w:val="single" w:color="auto" w:sz="4" w:space="0"/>
                    <w:left w:val="single" w:color="auto" w:sz="4" w:space="0"/>
                    <w:bottom w:val="single" w:color="auto" w:sz="4" w:space="0"/>
                    <w:right w:val="single" w:color="auto" w:sz="4" w:space="0"/>
                  </w:tcBorders>
                  <w:noWrap w:val="0"/>
                  <w:vAlign w:val="center"/>
                </w:tcPr>
                <w:p w14:paraId="32761D3D">
                  <w:pPr>
                    <w:keepNext w:val="0"/>
                    <w:keepLines w:val="0"/>
                    <w:widowControl/>
                    <w:suppressLineNumbers w:val="0"/>
                    <w:jc w:val="center"/>
                    <w:textAlignment w:val="center"/>
                    <w:rPr>
                      <w:rFonts w:hint="eastAsia" w:ascii="Times New Roman" w:hAnsi="Times New Roman" w:eastAsia="宋体" w:cs="Times New Roman"/>
                      <w:iCs/>
                      <w:color w:val="auto"/>
                      <w:kern w:val="0"/>
                      <w:sz w:val="21"/>
                      <w:szCs w:val="21"/>
                      <w:lang w:val="en-US" w:eastAsia="zh-CN" w:bidi="ar-SA"/>
                    </w:rPr>
                  </w:pPr>
                  <w:r>
                    <w:rPr>
                      <w:rFonts w:hint="eastAsia" w:eastAsia="宋体" w:cs="Times New Roman"/>
                      <w:color w:val="auto"/>
                      <w:szCs w:val="21"/>
                      <w:lang w:val="en-US" w:eastAsia="zh-CN"/>
                    </w:rPr>
                    <w:t>250</w:t>
                  </w:r>
                </w:p>
              </w:tc>
              <w:tc>
                <w:tcPr>
                  <w:tcW w:w="660" w:type="dxa"/>
                  <w:tcBorders>
                    <w:top w:val="single" w:color="auto" w:sz="4" w:space="0"/>
                    <w:left w:val="single" w:color="auto" w:sz="4" w:space="0"/>
                    <w:bottom w:val="single" w:color="auto" w:sz="4" w:space="0"/>
                  </w:tcBorders>
                  <w:noWrap w:val="0"/>
                  <w:vAlign w:val="center"/>
                </w:tcPr>
                <w:p w14:paraId="22778AA1">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bidi="ar-SA"/>
                    </w:rPr>
                  </w:pPr>
                  <w:r>
                    <w:rPr>
                      <w:rFonts w:hint="eastAsia" w:ascii="Times New Roman" w:hAnsi="Times New Roman" w:eastAsia="宋体" w:cs="Times New Roman"/>
                      <w:iCs/>
                      <w:color w:val="auto"/>
                      <w:kern w:val="0"/>
                      <w:sz w:val="21"/>
                      <w:szCs w:val="21"/>
                      <w:lang w:val="en-US" w:eastAsia="zh-CN"/>
                    </w:rPr>
                    <w:t>达标</w:t>
                  </w:r>
                </w:p>
              </w:tc>
            </w:tr>
            <w:tr w14:paraId="3A53B4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7728D1C7">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6F34C235">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5847DD28">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default" w:ascii="Times New Roman" w:hAnsi="Times New Roman" w:eastAsia="宋体" w:cs="Times New Roman"/>
                      <w:iCs/>
                      <w:color w:val="auto"/>
                      <w:kern w:val="0"/>
                      <w:sz w:val="21"/>
                      <w:szCs w:val="21"/>
                    </w:rPr>
                  </w:pPr>
                  <w:r>
                    <w:rPr>
                      <w:rFonts w:hint="eastAsia" w:ascii="Times New Roman" w:hAnsi="Times New Roman" w:eastAsia="宋体" w:cs="Times New Roman"/>
                      <w:color w:val="auto"/>
                      <w:sz w:val="21"/>
                      <w:szCs w:val="21"/>
                      <w:lang w:val="en-US" w:eastAsia="zh-CN" w:bidi="ar-SA"/>
                    </w:rPr>
                    <w:t>氨氮</w:t>
                  </w:r>
                </w:p>
              </w:tc>
              <w:tc>
                <w:tcPr>
                  <w:tcW w:w="597" w:type="pct"/>
                  <w:tcBorders>
                    <w:top w:val="single" w:color="auto" w:sz="4" w:space="0"/>
                    <w:left w:val="single" w:color="auto" w:sz="4" w:space="0"/>
                    <w:bottom w:val="single" w:color="auto" w:sz="4" w:space="0"/>
                    <w:right w:val="single" w:color="auto" w:sz="4" w:space="0"/>
                  </w:tcBorders>
                  <w:noWrap w:val="0"/>
                  <w:vAlign w:val="center"/>
                </w:tcPr>
                <w:p w14:paraId="6248A805">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highlight w:val="none"/>
                      <w:lang w:val="en-US" w:eastAsia="zh-CN"/>
                    </w:rPr>
                    <w:t>2.46</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0E7E9539">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highlight w:val="none"/>
                      <w:lang w:val="en-US" w:eastAsia="zh-CN"/>
                    </w:rPr>
                    <w:t>1.87</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76D867C3">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highlight w:val="none"/>
                      <w:lang w:val="en-US" w:eastAsia="zh-CN"/>
                    </w:rPr>
                    <w:t>3.74</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7FC5F2A5">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highlight w:val="none"/>
                      <w:lang w:val="en-US" w:eastAsia="zh-CN"/>
                    </w:rPr>
                    <w:t>5.21</w:t>
                  </w:r>
                </w:p>
              </w:tc>
              <w:tc>
                <w:tcPr>
                  <w:tcW w:w="1054" w:type="dxa"/>
                  <w:tcBorders>
                    <w:top w:val="single" w:color="auto" w:sz="4" w:space="0"/>
                    <w:left w:val="single" w:color="auto" w:sz="4" w:space="0"/>
                    <w:bottom w:val="single" w:color="auto" w:sz="4" w:space="0"/>
                    <w:right w:val="single" w:color="auto" w:sz="4" w:space="0"/>
                  </w:tcBorders>
                  <w:noWrap w:val="0"/>
                  <w:vAlign w:val="center"/>
                </w:tcPr>
                <w:p w14:paraId="6F4A7D05">
                  <w:pPr>
                    <w:keepNext w:val="0"/>
                    <w:keepLines w:val="0"/>
                    <w:widowControl/>
                    <w:suppressLineNumbers w:val="0"/>
                    <w:jc w:val="center"/>
                    <w:textAlignment w:val="center"/>
                    <w:rPr>
                      <w:rFonts w:hint="default" w:ascii="Times New Roman" w:hAnsi="Times New Roman" w:eastAsia="宋体" w:cs="Times New Roman"/>
                      <w:iCs/>
                      <w:color w:val="auto"/>
                      <w:kern w:val="0"/>
                      <w:sz w:val="21"/>
                      <w:szCs w:val="21"/>
                      <w:lang w:val="en-US" w:eastAsia="zh-CN" w:bidi="ar-SA"/>
                    </w:rPr>
                  </w:pPr>
                  <w:r>
                    <w:rPr>
                      <w:rFonts w:hint="eastAsia" w:eastAsia="宋体" w:cs="Times New Roman"/>
                      <w:color w:val="auto"/>
                      <w:szCs w:val="21"/>
                      <w:lang w:val="en-US" w:eastAsia="zh-CN"/>
                    </w:rPr>
                    <w:t>40</w:t>
                  </w:r>
                </w:p>
              </w:tc>
              <w:tc>
                <w:tcPr>
                  <w:tcW w:w="660" w:type="dxa"/>
                  <w:tcBorders>
                    <w:top w:val="single" w:color="auto" w:sz="4" w:space="0"/>
                    <w:left w:val="single" w:color="auto" w:sz="4" w:space="0"/>
                    <w:bottom w:val="single" w:color="auto" w:sz="4" w:space="0"/>
                  </w:tcBorders>
                  <w:noWrap w:val="0"/>
                  <w:vAlign w:val="center"/>
                </w:tcPr>
                <w:p w14:paraId="6DB7E884">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default" w:ascii="Times New Roman" w:hAnsi="Times New Roman" w:eastAsia="宋体" w:cs="Times New Roman"/>
                      <w:iCs/>
                      <w:color w:val="auto"/>
                      <w:kern w:val="0"/>
                      <w:sz w:val="21"/>
                      <w:szCs w:val="21"/>
                      <w:lang w:val="en-US" w:eastAsia="zh-CN" w:bidi="ar-SA"/>
                    </w:rPr>
                  </w:pPr>
                  <w:r>
                    <w:rPr>
                      <w:rFonts w:hint="eastAsia" w:ascii="Times New Roman" w:hAnsi="Times New Roman" w:eastAsia="宋体" w:cs="Times New Roman"/>
                      <w:iCs/>
                      <w:color w:val="auto"/>
                      <w:kern w:val="0"/>
                      <w:sz w:val="21"/>
                      <w:szCs w:val="21"/>
                      <w:lang w:val="en-US" w:eastAsia="zh-CN"/>
                    </w:rPr>
                    <w:t>达标</w:t>
                  </w:r>
                </w:p>
              </w:tc>
            </w:tr>
            <w:tr w14:paraId="3B6205E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604067CD">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43F837D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79C925AF">
                  <w:pPr>
                    <w:tabs>
                      <w:tab w:val="left" w:pos="2100"/>
                    </w:tabs>
                    <w:spacing w:line="320" w:lineRule="exact"/>
                    <w:jc w:val="center"/>
                    <w:textAlignment w:val="baseline"/>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动植物油</w:t>
                  </w:r>
                </w:p>
              </w:tc>
              <w:tc>
                <w:tcPr>
                  <w:tcW w:w="597" w:type="pct"/>
                  <w:tcBorders>
                    <w:top w:val="single" w:color="auto" w:sz="4" w:space="0"/>
                    <w:left w:val="single" w:color="auto" w:sz="4" w:space="0"/>
                    <w:bottom w:val="single" w:color="auto" w:sz="4" w:space="0"/>
                    <w:right w:val="single" w:color="auto" w:sz="4" w:space="0"/>
                  </w:tcBorders>
                  <w:noWrap w:val="0"/>
                  <w:vAlign w:val="center"/>
                </w:tcPr>
                <w:p w14:paraId="6BFBFA23">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0.19</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6B182E8A">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0.38</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3F6A8BA9">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0.47</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5C1C30C4">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0.31</w:t>
                  </w:r>
                </w:p>
              </w:tc>
              <w:tc>
                <w:tcPr>
                  <w:tcW w:w="1054" w:type="dxa"/>
                  <w:tcBorders>
                    <w:top w:val="single" w:color="auto" w:sz="4" w:space="0"/>
                    <w:left w:val="single" w:color="auto" w:sz="4" w:space="0"/>
                    <w:bottom w:val="single" w:color="auto" w:sz="4" w:space="0"/>
                    <w:right w:val="single" w:color="auto" w:sz="4" w:space="0"/>
                  </w:tcBorders>
                  <w:noWrap w:val="0"/>
                  <w:vAlign w:val="center"/>
                </w:tcPr>
                <w:p w14:paraId="5EC20814">
                  <w:pPr>
                    <w:keepNext w:val="0"/>
                    <w:keepLines w:val="0"/>
                    <w:widowControl/>
                    <w:suppressLineNumbers w:val="0"/>
                    <w:jc w:val="center"/>
                    <w:textAlignment w:val="center"/>
                    <w:rPr>
                      <w:rFonts w:hint="eastAsia" w:ascii="Times New Roman" w:hAnsi="Times New Roman" w:eastAsia="宋体" w:cs="Times New Roman"/>
                      <w:iCs/>
                      <w:color w:val="auto"/>
                      <w:kern w:val="0"/>
                      <w:sz w:val="21"/>
                      <w:szCs w:val="21"/>
                      <w:lang w:val="en-US" w:eastAsia="zh-CN"/>
                    </w:rPr>
                  </w:pPr>
                  <w:r>
                    <w:rPr>
                      <w:rFonts w:hint="eastAsia" w:ascii="Times New Roman" w:hAnsi="Times New Roman" w:cs="Times New Roman"/>
                      <w:color w:val="auto"/>
                      <w:sz w:val="21"/>
                      <w:szCs w:val="21"/>
                      <w:lang w:val="en-US" w:eastAsia="zh-CN"/>
                    </w:rPr>
                    <w:t>100</w:t>
                  </w:r>
                </w:p>
              </w:tc>
              <w:tc>
                <w:tcPr>
                  <w:tcW w:w="660" w:type="dxa"/>
                  <w:tcBorders>
                    <w:top w:val="single" w:color="auto" w:sz="4" w:space="0"/>
                    <w:left w:val="single" w:color="auto" w:sz="4" w:space="0"/>
                    <w:bottom w:val="single" w:color="auto" w:sz="4" w:space="0"/>
                  </w:tcBorders>
                  <w:noWrap w:val="0"/>
                  <w:vAlign w:val="center"/>
                </w:tcPr>
                <w:p w14:paraId="044F79FF">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768B29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82" w:type="pct"/>
                  <w:vMerge w:val="continue"/>
                  <w:tcBorders>
                    <w:right w:val="single" w:color="auto" w:sz="4" w:space="0"/>
                  </w:tcBorders>
                  <w:noWrap w:val="0"/>
                  <w:vAlign w:val="center"/>
                </w:tcPr>
                <w:p w14:paraId="5E2C68E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505" w:type="pct"/>
                  <w:vMerge w:val="continue"/>
                  <w:tcBorders>
                    <w:left w:val="single" w:color="auto" w:sz="4" w:space="0"/>
                    <w:right w:val="single" w:color="auto" w:sz="4" w:space="0"/>
                  </w:tcBorders>
                  <w:noWrap w:val="0"/>
                  <w:vAlign w:val="center"/>
                </w:tcPr>
                <w:p w14:paraId="6405E413">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default" w:ascii="Times New Roman" w:hAnsi="Times New Roman" w:eastAsia="宋体" w:cs="Times New Roman"/>
                      <w:iCs/>
                      <w:color w:val="auto"/>
                      <w:kern w:val="0"/>
                      <w:sz w:val="21"/>
                      <w:szCs w:val="21"/>
                    </w:rPr>
                  </w:pPr>
                </w:p>
              </w:tc>
              <w:tc>
                <w:tcPr>
                  <w:tcW w:w="667" w:type="pct"/>
                  <w:tcBorders>
                    <w:top w:val="single" w:color="auto" w:sz="4" w:space="0"/>
                    <w:left w:val="single" w:color="auto" w:sz="4" w:space="0"/>
                    <w:bottom w:val="single" w:color="auto" w:sz="4" w:space="0"/>
                    <w:right w:val="single" w:color="auto" w:sz="4" w:space="0"/>
                  </w:tcBorders>
                  <w:noWrap w:val="0"/>
                  <w:vAlign w:val="center"/>
                </w:tcPr>
                <w:p w14:paraId="4C88B7D1">
                  <w:pPr>
                    <w:tabs>
                      <w:tab w:val="left" w:pos="2100"/>
                    </w:tabs>
                    <w:spacing w:line="320" w:lineRule="exact"/>
                    <w:jc w:val="center"/>
                    <w:textAlignment w:val="baseline"/>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总磷</w:t>
                  </w:r>
                </w:p>
              </w:tc>
              <w:tc>
                <w:tcPr>
                  <w:tcW w:w="597" w:type="pct"/>
                  <w:tcBorders>
                    <w:top w:val="single" w:color="auto" w:sz="4" w:space="0"/>
                    <w:left w:val="single" w:color="auto" w:sz="4" w:space="0"/>
                    <w:bottom w:val="single" w:color="auto" w:sz="4" w:space="0"/>
                    <w:right w:val="single" w:color="auto" w:sz="4" w:space="0"/>
                  </w:tcBorders>
                  <w:noWrap w:val="0"/>
                  <w:vAlign w:val="center"/>
                </w:tcPr>
                <w:p w14:paraId="06177E6E">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0.11</w:t>
                  </w:r>
                </w:p>
              </w:tc>
              <w:tc>
                <w:tcPr>
                  <w:tcW w:w="617" w:type="pct"/>
                  <w:tcBorders>
                    <w:top w:val="single" w:color="auto" w:sz="4" w:space="0"/>
                    <w:left w:val="single" w:color="auto" w:sz="4" w:space="0"/>
                    <w:bottom w:val="single" w:color="auto" w:sz="4" w:space="0"/>
                    <w:right w:val="single" w:color="auto" w:sz="4" w:space="0"/>
                  </w:tcBorders>
                  <w:noWrap w:val="0"/>
                  <w:vAlign w:val="center"/>
                </w:tcPr>
                <w:p w14:paraId="2763B257">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0.21</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40FA06D4">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0.18</w:t>
                  </w:r>
                </w:p>
              </w:tc>
              <w:tc>
                <w:tcPr>
                  <w:tcW w:w="525" w:type="pct"/>
                  <w:tcBorders>
                    <w:top w:val="single" w:color="auto" w:sz="4" w:space="0"/>
                    <w:left w:val="single" w:color="auto" w:sz="4" w:space="0"/>
                    <w:bottom w:val="single" w:color="auto" w:sz="4" w:space="0"/>
                    <w:right w:val="single" w:color="auto" w:sz="4" w:space="0"/>
                  </w:tcBorders>
                  <w:noWrap w:val="0"/>
                  <w:vAlign w:val="center"/>
                </w:tcPr>
                <w:p w14:paraId="1966FDEE">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0.25</w:t>
                  </w:r>
                </w:p>
              </w:tc>
              <w:tc>
                <w:tcPr>
                  <w:tcW w:w="1054" w:type="dxa"/>
                  <w:tcBorders>
                    <w:top w:val="single" w:color="auto" w:sz="4" w:space="0"/>
                    <w:left w:val="single" w:color="auto" w:sz="4" w:space="0"/>
                    <w:bottom w:val="single" w:color="auto" w:sz="4" w:space="0"/>
                    <w:right w:val="single" w:color="auto" w:sz="4" w:space="0"/>
                  </w:tcBorders>
                  <w:noWrap w:val="0"/>
                  <w:vAlign w:val="center"/>
                </w:tcPr>
                <w:p w14:paraId="4C94C985">
                  <w:pPr>
                    <w:keepNext w:val="0"/>
                    <w:keepLines w:val="0"/>
                    <w:widowControl/>
                    <w:suppressLineNumbers w:val="0"/>
                    <w:jc w:val="center"/>
                    <w:textAlignment w:val="center"/>
                    <w:rPr>
                      <w:rFonts w:hint="eastAsia" w:ascii="Times New Roman" w:hAnsi="Times New Roman" w:eastAsia="宋体" w:cs="Times New Roman"/>
                      <w:iCs/>
                      <w:color w:val="auto"/>
                      <w:kern w:val="0"/>
                      <w:sz w:val="21"/>
                      <w:szCs w:val="21"/>
                      <w:lang w:val="en-US" w:eastAsia="zh-CN"/>
                    </w:rPr>
                  </w:pPr>
                  <w:r>
                    <w:rPr>
                      <w:rFonts w:hint="eastAsia" w:cs="Times New Roman"/>
                      <w:iCs/>
                      <w:color w:val="auto"/>
                      <w:kern w:val="0"/>
                      <w:sz w:val="21"/>
                      <w:szCs w:val="21"/>
                      <w:lang w:val="en-US" w:eastAsia="zh-CN"/>
                    </w:rPr>
                    <w:t>4</w:t>
                  </w:r>
                </w:p>
              </w:tc>
              <w:tc>
                <w:tcPr>
                  <w:tcW w:w="660" w:type="dxa"/>
                  <w:tcBorders>
                    <w:top w:val="single" w:color="auto" w:sz="4" w:space="0"/>
                    <w:left w:val="single" w:color="auto" w:sz="4" w:space="0"/>
                    <w:bottom w:val="single" w:color="auto" w:sz="4" w:space="0"/>
                  </w:tcBorders>
                  <w:noWrap w:val="0"/>
                  <w:vAlign w:val="center"/>
                </w:tcPr>
                <w:p w14:paraId="2E0AEA41">
                  <w:pPr>
                    <w:keepNext w:val="0"/>
                    <w:keepLines w:val="0"/>
                    <w:pageBreakBefore w:val="0"/>
                    <w:widowControl/>
                    <w:kinsoku/>
                    <w:wordWrap/>
                    <w:overflowPunct/>
                    <w:topLinePunct w:val="0"/>
                    <w:autoSpaceDE/>
                    <w:autoSpaceDN/>
                    <w:bidi w:val="0"/>
                    <w:adjustRightInd w:val="0"/>
                    <w:snapToGrid w:val="0"/>
                    <w:spacing w:after="0" w:line="300" w:lineRule="exact"/>
                    <w:ind w:left="0" w:leftChars="0" w:right="0" w:rightChars="0" w:firstLine="0" w:firstLineChars="0"/>
                    <w:jc w:val="center"/>
                    <w:textAlignment w:val="auto"/>
                    <w:outlineLvl w:val="9"/>
                    <w:rPr>
                      <w:rFonts w:hint="eastAsia" w:ascii="Times New Roman" w:hAnsi="Times New Roman" w:eastAsia="宋体" w:cs="Times New Roman"/>
                      <w:iCs/>
                      <w:color w:val="auto"/>
                      <w:kern w:val="0"/>
                      <w:sz w:val="21"/>
                      <w:szCs w:val="21"/>
                      <w:lang w:val="en-US" w:eastAsia="zh-CN"/>
                    </w:rPr>
                  </w:pPr>
                  <w:r>
                    <w:rPr>
                      <w:rFonts w:hint="eastAsia" w:ascii="Times New Roman" w:hAnsi="Times New Roman" w:eastAsia="宋体" w:cs="Times New Roman"/>
                      <w:iCs/>
                      <w:color w:val="auto"/>
                      <w:kern w:val="0"/>
                      <w:sz w:val="21"/>
                      <w:szCs w:val="21"/>
                      <w:lang w:val="en-US" w:eastAsia="zh-CN"/>
                    </w:rPr>
                    <w:t>达标</w:t>
                  </w:r>
                </w:p>
              </w:tc>
            </w:tr>
            <w:tr w14:paraId="47BD13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55" w:type="pct"/>
                  <w:gridSpan w:val="3"/>
                  <w:tcBorders>
                    <w:right w:val="single" w:color="auto" w:sz="4" w:space="0"/>
                  </w:tcBorders>
                  <w:noWrap w:val="0"/>
                  <w:vAlign w:val="center"/>
                </w:tcPr>
                <w:p w14:paraId="4AB73A83">
                  <w:pPr>
                    <w:pStyle w:val="138"/>
                    <w:spacing w:before="0" w:beforeAutospacing="0" w:after="0" w:afterAutospacing="0" w:line="240" w:lineRule="auto"/>
                    <w:jc w:val="center"/>
                    <w:outlineLvl w:val="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样品状态</w:t>
                  </w:r>
                </w:p>
              </w:tc>
              <w:tc>
                <w:tcPr>
                  <w:tcW w:w="3244" w:type="pct"/>
                  <w:gridSpan w:val="6"/>
                  <w:tcBorders>
                    <w:top w:val="single" w:color="auto" w:sz="4" w:space="0"/>
                    <w:left w:val="single" w:color="auto" w:sz="4" w:space="0"/>
                    <w:bottom w:val="single" w:color="auto" w:sz="4" w:space="0"/>
                  </w:tcBorders>
                  <w:noWrap w:val="0"/>
                  <w:vAlign w:val="center"/>
                </w:tcPr>
                <w:p w14:paraId="53474024">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Times New Roman" w:hAnsi="Times New Roman" w:eastAsia="宋体" w:cs="Times New Roman"/>
                      <w:iCs/>
                      <w:color w:val="auto"/>
                      <w:kern w:val="0"/>
                      <w:sz w:val="21"/>
                      <w:szCs w:val="21"/>
                      <w:lang w:val="en-US" w:eastAsia="zh-CN" w:bidi="ar-SA"/>
                    </w:rPr>
                  </w:pPr>
                  <w:r>
                    <w:rPr>
                      <w:rFonts w:hint="eastAsia" w:ascii="Times New Roman" w:hAnsi="Times New Roman" w:cs="Times New Roman"/>
                      <w:color w:val="auto"/>
                      <w:szCs w:val="21"/>
                      <w:highlight w:val="none"/>
                      <w:lang w:val="en-US" w:eastAsia="zh-CN"/>
                    </w:rPr>
                    <w:t>微黄、微浊、微臭</w:t>
                  </w:r>
                </w:p>
              </w:tc>
            </w:tr>
          </w:tbl>
          <w:p w14:paraId="782E05C9">
            <w:pPr>
              <w:widowControl/>
              <w:adjustRightInd/>
              <w:snapToGrid/>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本次验收监测结果表明，项目废水</w:t>
            </w:r>
            <w:r>
              <w:rPr>
                <w:rFonts w:hint="eastAsia"/>
                <w:color w:val="auto"/>
                <w:sz w:val="24"/>
                <w:szCs w:val="24"/>
                <w:lang w:eastAsia="zh-CN"/>
              </w:rPr>
              <w:t>p</w:t>
            </w:r>
            <w:r>
              <w:rPr>
                <w:rFonts w:hint="eastAsia"/>
                <w:color w:val="auto"/>
                <w:sz w:val="24"/>
                <w:szCs w:val="24"/>
                <w:lang w:val="en-US" w:eastAsia="zh-CN"/>
              </w:rPr>
              <w:t>H、</w:t>
            </w:r>
            <w:r>
              <w:rPr>
                <w:rFonts w:hint="eastAsia"/>
                <w:color w:val="auto"/>
                <w:sz w:val="24"/>
                <w:szCs w:val="24"/>
                <w:lang w:eastAsia="zh-CN"/>
              </w:rPr>
              <w:t>COD</w:t>
            </w:r>
            <w:r>
              <w:rPr>
                <w:rFonts w:hint="eastAsia"/>
                <w:color w:val="auto"/>
                <w:sz w:val="24"/>
                <w:szCs w:val="24"/>
                <w:lang w:val="en-US" w:eastAsia="zh-CN"/>
              </w:rPr>
              <w:t>cr、</w:t>
            </w:r>
            <w:r>
              <w:rPr>
                <w:rFonts w:hint="eastAsia"/>
                <w:color w:val="auto"/>
                <w:sz w:val="24"/>
                <w:szCs w:val="24"/>
                <w:lang w:eastAsia="zh-CN"/>
              </w:rPr>
              <w:t>BOD</w:t>
            </w:r>
            <w:r>
              <w:rPr>
                <w:rFonts w:hint="eastAsia"/>
                <w:color w:val="auto"/>
                <w:sz w:val="24"/>
                <w:szCs w:val="24"/>
                <w:vertAlign w:val="subscript"/>
                <w:lang w:eastAsia="zh-CN"/>
              </w:rPr>
              <w:t>5</w:t>
            </w:r>
            <w:r>
              <w:rPr>
                <w:rFonts w:hint="eastAsia"/>
                <w:color w:val="auto"/>
                <w:sz w:val="24"/>
                <w:szCs w:val="24"/>
                <w:vertAlign w:val="baseline"/>
                <w:lang w:eastAsia="zh-CN"/>
              </w:rPr>
              <w:t>、</w:t>
            </w:r>
            <w:r>
              <w:rPr>
                <w:rFonts w:hint="eastAsia"/>
                <w:color w:val="auto"/>
                <w:sz w:val="24"/>
                <w:szCs w:val="24"/>
                <w:vertAlign w:val="baseline"/>
                <w:lang w:val="en-US" w:eastAsia="zh-CN"/>
              </w:rPr>
              <w:t>SS、氨氮、TP排放浓度可达到</w:t>
            </w:r>
            <w:r>
              <w:rPr>
                <w:rFonts w:hint="eastAsia"/>
                <w:color w:val="auto"/>
                <w:sz w:val="24"/>
                <w:szCs w:val="24"/>
                <w:lang w:eastAsia="zh-CN"/>
              </w:rPr>
              <w:t>武阳创业园污水处理厂接管标准，动植物油可达到《污水综合排放标准》（</w:t>
            </w:r>
            <w:r>
              <w:rPr>
                <w:rFonts w:hint="eastAsia"/>
                <w:color w:val="auto"/>
                <w:sz w:val="24"/>
                <w:szCs w:val="24"/>
                <w:lang w:val="en-US" w:eastAsia="zh-CN"/>
              </w:rPr>
              <w:t>GB8978-1996</w:t>
            </w:r>
            <w:r>
              <w:rPr>
                <w:rFonts w:hint="eastAsia"/>
                <w:color w:val="auto"/>
                <w:sz w:val="24"/>
                <w:szCs w:val="24"/>
                <w:lang w:eastAsia="zh-CN"/>
              </w:rPr>
              <w:t>）表</w:t>
            </w:r>
            <w:r>
              <w:rPr>
                <w:rFonts w:hint="eastAsia"/>
                <w:color w:val="auto"/>
                <w:sz w:val="24"/>
                <w:szCs w:val="24"/>
                <w:lang w:val="en-US" w:eastAsia="zh-CN"/>
              </w:rPr>
              <w:t>4中三级标准</w:t>
            </w:r>
            <w:r>
              <w:rPr>
                <w:rFonts w:hint="default" w:ascii="Times New Roman" w:hAnsi="Times New Roman" w:eastAsia="宋体" w:cs="Times New Roman"/>
                <w:color w:val="auto"/>
                <w:kern w:val="2"/>
                <w:sz w:val="24"/>
                <w:szCs w:val="24"/>
                <w:lang w:val="en-US" w:eastAsia="zh-CN" w:bidi="ar-SA"/>
              </w:rPr>
              <w:t>。</w:t>
            </w:r>
          </w:p>
          <w:p w14:paraId="56C0C6AF">
            <w:pPr>
              <w:pStyle w:val="74"/>
              <w:spacing w:line="360" w:lineRule="auto"/>
              <w:jc w:val="both"/>
              <w:rPr>
                <w:rFonts w:ascii="Times New Roman" w:hAnsi="Times New Roman" w:cs="Times New Roman"/>
                <w:b/>
                <w:bCs/>
                <w:color w:val="auto"/>
                <w:sz w:val="24"/>
                <w:szCs w:val="24"/>
                <w:lang w:eastAsia="zh-CN"/>
              </w:rPr>
            </w:pPr>
            <w:r>
              <w:rPr>
                <w:rFonts w:ascii="Times New Roman" w:hAnsi="Times New Roman" w:cs="Times New Roman"/>
                <w:b/>
                <w:color w:val="auto"/>
                <w:kern w:val="2"/>
                <w:sz w:val="24"/>
                <w:szCs w:val="24"/>
                <w:lang w:eastAsia="zh-CN"/>
              </w:rPr>
              <w:t>7.2.6固</w:t>
            </w:r>
            <w:r>
              <w:rPr>
                <w:rFonts w:ascii="Times New Roman" w:hAnsi="Times New Roman" w:cs="Times New Roman"/>
                <w:b/>
                <w:bCs/>
                <w:color w:val="auto"/>
                <w:sz w:val="24"/>
                <w:szCs w:val="24"/>
                <w:lang w:eastAsia="zh-CN"/>
              </w:rPr>
              <w:t>废产生量及处理处置情况</w:t>
            </w:r>
          </w:p>
          <w:p w14:paraId="7939E22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color w:val="auto"/>
                <w:sz w:val="24"/>
                <w:szCs w:val="24"/>
              </w:rPr>
            </w:pPr>
            <w:r>
              <w:rPr>
                <w:rFonts w:hint="eastAsia"/>
                <w:color w:val="auto"/>
                <w:sz w:val="24"/>
                <w:szCs w:val="24"/>
                <w:lang w:eastAsia="zh-CN"/>
              </w:rPr>
              <w:t>项目产生的</w:t>
            </w:r>
            <w:r>
              <w:rPr>
                <w:rFonts w:hint="eastAsia"/>
                <w:color w:val="auto"/>
                <w:sz w:val="24"/>
                <w:szCs w:val="24"/>
                <w:lang w:val="en-US" w:eastAsia="zh-CN"/>
              </w:rPr>
              <w:t>废边角料、焊渣、废钢丸、布袋除尘器收集的抛丸粉尘、布袋除尘器收集的喷塑粉尘、收集的金属粉尘、废布袋、废一般包装材料、沉渣统一</w:t>
            </w:r>
            <w:r>
              <w:rPr>
                <w:rFonts w:hint="eastAsia"/>
                <w:color w:val="auto"/>
                <w:sz w:val="24"/>
                <w:szCs w:val="24"/>
                <w:lang w:eastAsia="zh-CN"/>
              </w:rPr>
              <w:t>收集后暂存于一般工业固废暂存间（</w:t>
            </w:r>
            <w:r>
              <w:rPr>
                <w:rFonts w:hint="eastAsia"/>
                <w:color w:val="auto"/>
                <w:sz w:val="24"/>
                <w:szCs w:val="24"/>
                <w:lang w:val="en-US" w:eastAsia="zh-CN"/>
              </w:rPr>
              <w:t>200</w:t>
            </w:r>
            <w:r>
              <w:rPr>
                <w:rFonts w:hint="eastAsia"/>
                <w:color w:val="auto"/>
                <w:sz w:val="24"/>
                <w:szCs w:val="24"/>
                <w:lang w:eastAsia="zh-CN"/>
              </w:rPr>
              <w:t>m</w:t>
            </w:r>
            <w:r>
              <w:rPr>
                <w:rFonts w:hint="eastAsia"/>
                <w:color w:val="auto"/>
                <w:sz w:val="24"/>
                <w:szCs w:val="24"/>
                <w:vertAlign w:val="superscript"/>
                <w:lang w:eastAsia="zh-CN"/>
              </w:rPr>
              <w:t>2</w:t>
            </w:r>
            <w:r>
              <w:rPr>
                <w:rFonts w:hint="eastAsia"/>
                <w:color w:val="auto"/>
                <w:sz w:val="24"/>
                <w:szCs w:val="24"/>
                <w:lang w:eastAsia="zh-CN"/>
              </w:rPr>
              <w:t>）外售处理；</w:t>
            </w:r>
            <w:r>
              <w:rPr>
                <w:rFonts w:hint="eastAsia"/>
                <w:color w:val="auto"/>
                <w:sz w:val="24"/>
                <w:szCs w:val="24"/>
                <w:lang w:val="en-US" w:eastAsia="zh-CN"/>
              </w:rPr>
              <w:t>废活性炭、废润滑油、废液压油、废油桶、废抹布及手套</w:t>
            </w:r>
            <w:r>
              <w:rPr>
                <w:rFonts w:hint="eastAsia"/>
                <w:color w:val="auto"/>
                <w:sz w:val="24"/>
                <w:szCs w:val="24"/>
                <w:lang w:eastAsia="zh-CN"/>
              </w:rPr>
              <w:t>暂存于危废暂存间（</w:t>
            </w:r>
            <w:r>
              <w:rPr>
                <w:rFonts w:hint="eastAsia"/>
                <w:color w:val="auto"/>
                <w:sz w:val="24"/>
                <w:szCs w:val="24"/>
                <w:lang w:val="en-US" w:eastAsia="zh-CN"/>
              </w:rPr>
              <w:t>10</w:t>
            </w:r>
            <w:r>
              <w:rPr>
                <w:rFonts w:hint="eastAsia"/>
                <w:color w:val="auto"/>
                <w:sz w:val="24"/>
                <w:szCs w:val="24"/>
                <w:lang w:eastAsia="zh-CN"/>
              </w:rPr>
              <w:t>m</w:t>
            </w:r>
            <w:r>
              <w:rPr>
                <w:rFonts w:hint="eastAsia"/>
                <w:color w:val="auto"/>
                <w:sz w:val="24"/>
                <w:szCs w:val="24"/>
                <w:vertAlign w:val="superscript"/>
                <w:lang w:eastAsia="zh-CN"/>
              </w:rPr>
              <w:t>2</w:t>
            </w:r>
            <w:r>
              <w:rPr>
                <w:rFonts w:hint="eastAsia"/>
                <w:color w:val="auto"/>
                <w:sz w:val="24"/>
                <w:szCs w:val="24"/>
                <w:lang w:eastAsia="zh-CN"/>
              </w:rPr>
              <w:t>）定期交由有资质单位处理；</w:t>
            </w:r>
            <w:r>
              <w:rPr>
                <w:rFonts w:ascii="Times New Roman" w:hAnsi="Times New Roman" w:cs="Times New Roman"/>
                <w:color w:val="auto"/>
                <w:sz w:val="24"/>
                <w:szCs w:val="24"/>
              </w:rPr>
              <w:t>生活垃圾交由当地的环卫部门处置</w:t>
            </w:r>
            <w:r>
              <w:rPr>
                <w:color w:val="auto"/>
                <w:sz w:val="24"/>
                <w:szCs w:val="24"/>
              </w:rPr>
              <w:t>。</w:t>
            </w:r>
          </w:p>
          <w:p w14:paraId="4370B92F">
            <w:pPr>
              <w:keepNext w:val="0"/>
              <w:keepLines w:val="0"/>
              <w:pageBreakBefore w:val="0"/>
              <w:widowControl w:val="0"/>
              <w:kinsoku/>
              <w:wordWrap/>
              <w:overflowPunct/>
              <w:topLinePunct w:val="0"/>
              <w:autoSpaceDE/>
              <w:autoSpaceDN/>
              <w:bidi w:val="0"/>
              <w:spacing w:line="360" w:lineRule="auto"/>
              <w:jc w:val="left"/>
              <w:textAlignment w:val="auto"/>
              <w:rPr>
                <w:b/>
                <w:color w:val="auto"/>
                <w:sz w:val="24"/>
                <w:szCs w:val="24"/>
              </w:rPr>
            </w:pPr>
            <w:r>
              <w:rPr>
                <w:b/>
                <w:color w:val="auto"/>
                <w:sz w:val="24"/>
                <w:szCs w:val="24"/>
              </w:rPr>
              <w:t>7.2.7总量控制</w:t>
            </w:r>
          </w:p>
          <w:p w14:paraId="3409970B">
            <w:pPr>
              <w:keepNext w:val="0"/>
              <w:keepLines w:val="0"/>
              <w:pageBreakBefore w:val="0"/>
              <w:widowControl w:val="0"/>
              <w:kinsoku/>
              <w:wordWrap/>
              <w:overflowPunct/>
              <w:topLinePunct w:val="0"/>
              <w:bidi w:val="0"/>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eastAsia="zh-CN"/>
              </w:rPr>
              <w:t>根据验收监测结果</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非甲烷总烃</w:t>
            </w:r>
            <w:r>
              <w:rPr>
                <w:rFonts w:hint="eastAsia" w:ascii="Times New Roman" w:hAnsi="Times New Roman" w:cs="Times New Roman"/>
                <w:color w:val="auto"/>
                <w:sz w:val="24"/>
                <w:szCs w:val="24"/>
                <w:lang w:eastAsia="zh-CN"/>
              </w:rPr>
              <w:t>最大排放速率</w:t>
            </w:r>
            <w:r>
              <w:rPr>
                <w:rFonts w:hint="eastAsia" w:ascii="Times New Roman" w:hAnsi="Times New Roman" w:cs="Times New Roman"/>
                <w:color w:val="auto"/>
                <w:sz w:val="24"/>
                <w:szCs w:val="24"/>
                <w:lang w:val="en-US" w:eastAsia="zh-CN"/>
              </w:rPr>
              <w:t>0.0705kg/h</w:t>
            </w:r>
          </w:p>
          <w:p w14:paraId="5C5970A0">
            <w:pPr>
              <w:keepNext w:val="0"/>
              <w:keepLines w:val="0"/>
              <w:pageBreakBefore w:val="0"/>
              <w:widowControl w:val="0"/>
              <w:kinsoku/>
              <w:wordWrap/>
              <w:overflowPunct/>
              <w:topLinePunct w:val="0"/>
              <w:bidi w:val="0"/>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eastAsia="zh-CN"/>
              </w:rPr>
              <w:t>非甲烷总烃排放量为：</w:t>
            </w:r>
            <w:r>
              <w:rPr>
                <w:rFonts w:hint="default" w:ascii="Times New Roman" w:hAnsi="Times New Roman" w:cs="Times New Roman"/>
                <w:color w:val="auto"/>
                <w:sz w:val="24"/>
                <w:szCs w:val="24"/>
                <w:lang w:val="en-US" w:eastAsia="zh-CN"/>
              </w:rPr>
              <w:t>0.0705kg/h/1000*4800h=0.3384t/a</w:t>
            </w:r>
            <w:r>
              <w:rPr>
                <w:rFonts w:hint="eastAsia" w:ascii="Times New Roman" w:hAnsi="Times New Roman" w:cs="Times New Roman"/>
                <w:color w:val="auto"/>
                <w:sz w:val="24"/>
                <w:szCs w:val="24"/>
                <w:lang w:val="en-US" w:eastAsia="zh-CN"/>
              </w:rPr>
              <w:t>。</w:t>
            </w:r>
          </w:p>
          <w:p w14:paraId="303680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rFonts w:hint="eastAsia" w:ascii="Times New Roman" w:hAnsi="Times New Roman" w:cs="Times New Roman"/>
                <w:color w:val="auto"/>
                <w:sz w:val="24"/>
                <w:szCs w:val="24"/>
                <w:lang w:val="en-US" w:eastAsia="zh-CN"/>
              </w:rPr>
              <w:t>本项目</w:t>
            </w:r>
            <w:r>
              <w:rPr>
                <w:rFonts w:hint="default" w:ascii="Times New Roman" w:hAnsi="Times New Roman" w:cs="Times New Roman"/>
                <w:color w:val="auto"/>
                <w:sz w:val="24"/>
                <w:szCs w:val="24"/>
                <w:lang w:val="en-US" w:eastAsia="zh-CN"/>
              </w:rPr>
              <w:t>VOCs</w:t>
            </w:r>
            <w:r>
              <w:rPr>
                <w:rFonts w:hint="eastAsia" w:ascii="Times New Roman" w:hAnsi="Times New Roman" w:eastAsia="宋体" w:cs="Times New Roman"/>
                <w:color w:val="auto"/>
                <w:kern w:val="21"/>
                <w:sz w:val="24"/>
                <w:highlight w:val="none"/>
                <w:lang w:val="en-US" w:eastAsia="zh-CN"/>
              </w:rPr>
              <w:t>总量指标控制0.3384t/a＜0.815t/a</w:t>
            </w:r>
            <w:r>
              <w:rPr>
                <w:rFonts w:hint="default" w:ascii="Times New Roman" w:hAnsi="Times New Roman" w:cs="Times New Roman"/>
                <w:color w:val="auto"/>
                <w:sz w:val="24"/>
                <w:szCs w:val="24"/>
                <w:lang w:eastAsia="zh-CN"/>
              </w:rPr>
              <w:t>。严格执行生态环境主管部门下达的总量控制要求。</w:t>
            </w:r>
          </w:p>
        </w:tc>
      </w:tr>
      <w:bookmarkEnd w:id="8"/>
    </w:tbl>
    <w:p w14:paraId="40ED041B">
      <w:pPr>
        <w:pStyle w:val="7"/>
        <w:rPr>
          <w:b w:val="0"/>
          <w:bCs/>
          <w:color w:val="auto"/>
          <w:szCs w:val="24"/>
        </w:rPr>
      </w:pPr>
      <w:bookmarkStart w:id="17" w:name="_Toc523906062"/>
      <w:r>
        <w:rPr>
          <w:color w:val="auto"/>
        </w:rPr>
        <w:t>表</w:t>
      </w:r>
      <w:r>
        <w:rPr>
          <w:rFonts w:hint="eastAsia"/>
          <w:color w:val="auto"/>
        </w:rPr>
        <w:t>八</w:t>
      </w:r>
      <w:r>
        <w:rPr>
          <w:color w:val="auto"/>
        </w:rPr>
        <w:t xml:space="preserve"> </w:t>
      </w:r>
      <w:r>
        <w:rPr>
          <w:rFonts w:hint="eastAsia"/>
          <w:color w:val="auto"/>
        </w:rPr>
        <w:t>环评及批复落实情况</w:t>
      </w:r>
      <w:bookmarkEnd w:id="17"/>
    </w:p>
    <w:tbl>
      <w:tblPr>
        <w:tblStyle w:val="34"/>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0426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9" w:hRule="atLeast"/>
        </w:trPr>
        <w:tc>
          <w:tcPr>
            <w:tcW w:w="9287" w:type="dxa"/>
            <w:shd w:val="clear" w:color="auto" w:fill="auto"/>
          </w:tcPr>
          <w:p w14:paraId="0A1A8E32">
            <w:pPr>
              <w:adjustRightInd w:val="0"/>
              <w:snapToGrid w:val="0"/>
              <w:spacing w:line="360" w:lineRule="auto"/>
              <w:ind w:firstLine="480" w:firstLineChars="200"/>
              <w:rPr>
                <w:color w:val="auto"/>
                <w:sz w:val="24"/>
                <w:szCs w:val="24"/>
              </w:rPr>
            </w:pPr>
            <w:r>
              <w:rPr>
                <w:rFonts w:hint="eastAsia"/>
                <w:color w:val="auto"/>
                <w:sz w:val="24"/>
                <w:szCs w:val="24"/>
              </w:rPr>
              <w:t>该公司切实按照环评建议及环评批复要求，落实各项环保措施。环评批复落实情况见表8-1。</w:t>
            </w:r>
          </w:p>
          <w:p w14:paraId="04E3CC7E">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表8-1 项目环评及环评批复落实情况一览表</w:t>
            </w:r>
          </w:p>
          <w:tbl>
            <w:tblPr>
              <w:tblStyle w:val="3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4159"/>
              <w:gridCol w:w="3245"/>
              <w:gridCol w:w="876"/>
            </w:tblGrid>
            <w:tr w14:paraId="4523F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tblHeader/>
                <w:jc w:val="center"/>
              </w:trPr>
              <w:tc>
                <w:tcPr>
                  <w:tcW w:w="434" w:type="pct"/>
                  <w:tcBorders>
                    <w:tl2br w:val="nil"/>
                    <w:tr2bl w:val="nil"/>
                  </w:tcBorders>
                  <w:vAlign w:val="center"/>
                </w:tcPr>
                <w:p w14:paraId="786D2AF5">
                  <w:pPr>
                    <w:jc w:val="center"/>
                    <w:rPr>
                      <w:bCs/>
                      <w:color w:val="auto"/>
                      <w:sz w:val="21"/>
                      <w:szCs w:val="21"/>
                    </w:rPr>
                  </w:pPr>
                  <w:r>
                    <w:rPr>
                      <w:bCs/>
                      <w:color w:val="auto"/>
                      <w:sz w:val="21"/>
                      <w:szCs w:val="21"/>
                    </w:rPr>
                    <w:t>序号</w:t>
                  </w:r>
                </w:p>
              </w:tc>
              <w:tc>
                <w:tcPr>
                  <w:tcW w:w="2293" w:type="pct"/>
                  <w:tcBorders>
                    <w:tl2br w:val="nil"/>
                    <w:tr2bl w:val="nil"/>
                  </w:tcBorders>
                  <w:vAlign w:val="center"/>
                </w:tcPr>
                <w:p w14:paraId="5EE1808C">
                  <w:pPr>
                    <w:jc w:val="center"/>
                    <w:rPr>
                      <w:bCs/>
                      <w:color w:val="auto"/>
                      <w:sz w:val="21"/>
                      <w:szCs w:val="21"/>
                    </w:rPr>
                  </w:pPr>
                  <w:r>
                    <w:rPr>
                      <w:bCs/>
                      <w:color w:val="auto"/>
                      <w:sz w:val="21"/>
                      <w:szCs w:val="21"/>
                    </w:rPr>
                    <w:t>环评及环评批复要求</w:t>
                  </w:r>
                </w:p>
              </w:tc>
              <w:tc>
                <w:tcPr>
                  <w:tcW w:w="1789" w:type="pct"/>
                  <w:tcBorders>
                    <w:tl2br w:val="nil"/>
                    <w:tr2bl w:val="nil"/>
                  </w:tcBorders>
                  <w:vAlign w:val="center"/>
                </w:tcPr>
                <w:p w14:paraId="17C4AAA2">
                  <w:pPr>
                    <w:jc w:val="center"/>
                    <w:rPr>
                      <w:bCs/>
                      <w:color w:val="auto"/>
                      <w:sz w:val="21"/>
                      <w:szCs w:val="21"/>
                    </w:rPr>
                  </w:pPr>
                  <w:r>
                    <w:rPr>
                      <w:bCs/>
                      <w:color w:val="auto"/>
                      <w:sz w:val="21"/>
                      <w:szCs w:val="21"/>
                    </w:rPr>
                    <w:t>落实情况</w:t>
                  </w:r>
                </w:p>
              </w:tc>
              <w:tc>
                <w:tcPr>
                  <w:tcW w:w="483" w:type="pct"/>
                  <w:tcBorders>
                    <w:tl2br w:val="nil"/>
                    <w:tr2bl w:val="nil"/>
                  </w:tcBorders>
                  <w:vAlign w:val="center"/>
                </w:tcPr>
                <w:p w14:paraId="72EE565B">
                  <w:pPr>
                    <w:jc w:val="center"/>
                    <w:rPr>
                      <w:bCs/>
                      <w:color w:val="auto"/>
                      <w:sz w:val="21"/>
                      <w:szCs w:val="21"/>
                    </w:rPr>
                  </w:pPr>
                  <w:r>
                    <w:rPr>
                      <w:bCs/>
                      <w:color w:val="auto"/>
                      <w:sz w:val="21"/>
                      <w:szCs w:val="21"/>
                    </w:rPr>
                    <w:t>是否</w:t>
                  </w:r>
                </w:p>
                <w:p w14:paraId="124EE58C">
                  <w:pPr>
                    <w:jc w:val="center"/>
                    <w:rPr>
                      <w:bCs/>
                      <w:color w:val="auto"/>
                      <w:sz w:val="21"/>
                      <w:szCs w:val="21"/>
                    </w:rPr>
                  </w:pPr>
                  <w:r>
                    <w:rPr>
                      <w:bCs/>
                      <w:color w:val="auto"/>
                      <w:sz w:val="21"/>
                      <w:szCs w:val="21"/>
                    </w:rPr>
                    <w:t>落实</w:t>
                  </w:r>
                </w:p>
              </w:tc>
            </w:tr>
            <w:tr w14:paraId="2259F4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4" w:hRule="atLeast"/>
                <w:jc w:val="center"/>
              </w:trPr>
              <w:tc>
                <w:tcPr>
                  <w:tcW w:w="434" w:type="pct"/>
                  <w:tcBorders>
                    <w:tl2br w:val="nil"/>
                    <w:tr2bl w:val="nil"/>
                  </w:tcBorders>
                  <w:vAlign w:val="center"/>
                </w:tcPr>
                <w:p w14:paraId="3C70D91C">
                  <w:pPr>
                    <w:jc w:val="center"/>
                    <w:rPr>
                      <w:bCs/>
                      <w:color w:val="auto"/>
                      <w:sz w:val="21"/>
                      <w:szCs w:val="21"/>
                    </w:rPr>
                  </w:pPr>
                  <w:r>
                    <w:rPr>
                      <w:rFonts w:hint="eastAsia"/>
                      <w:bCs/>
                      <w:color w:val="auto"/>
                      <w:sz w:val="21"/>
                      <w:szCs w:val="21"/>
                    </w:rPr>
                    <w:t>废气</w:t>
                  </w:r>
                </w:p>
              </w:tc>
              <w:tc>
                <w:tcPr>
                  <w:tcW w:w="2293" w:type="pct"/>
                  <w:tcBorders>
                    <w:tl2br w:val="nil"/>
                    <w:tr2bl w:val="nil"/>
                  </w:tcBorders>
                  <w:vAlign w:val="center"/>
                </w:tcPr>
                <w:p w14:paraId="6E2D5436">
                  <w:pPr>
                    <w:ind w:firstLine="420" w:firstLineChars="200"/>
                    <w:rPr>
                      <w:bCs/>
                      <w:color w:val="auto"/>
                      <w:sz w:val="21"/>
                      <w:szCs w:val="21"/>
                    </w:rPr>
                  </w:pPr>
                  <w:r>
                    <w:rPr>
                      <w:rFonts w:hint="eastAsia"/>
                      <w:bCs/>
                      <w:color w:val="auto"/>
                      <w:sz w:val="21"/>
                      <w:szCs w:val="21"/>
                      <w:lang w:val="en-US" w:eastAsia="zh-CN"/>
                    </w:rPr>
                    <w:t>严格落实大气污染防治措施。项目产生的废气主要为食堂油烟、铣边金属粉尘、焊接烟尘、抛丸粉尘、喷塑粉尘及固化、调漆、喷漆、晾干、胶带和PE带缠绕工序产生的有机废气等。应采取成熟可靠的废气处理工艺，确保外排粉尘颗粒物浓度满足《大气污染物综合排放标准》(GB16297-1996)表2中的二级标准，有机废气满足《大气污染物综合排放标准》(GB16297-1996)表2中的二级标准、金属粉尘、焊接烟尘等满足《大气污染物综合排放标准》(GB16297-1996)表2中的无组织排放监控浓度限值，食堂油烟满足《饮食业油烟排放标准(试行)》(GB18483-2001)小型标准。</w:t>
                  </w:r>
                </w:p>
              </w:tc>
              <w:tc>
                <w:tcPr>
                  <w:tcW w:w="1789" w:type="pct"/>
                  <w:tcBorders>
                    <w:tl2br w:val="nil"/>
                    <w:tr2bl w:val="nil"/>
                  </w:tcBorders>
                  <w:vAlign w:val="center"/>
                </w:tcPr>
                <w:p w14:paraId="79D24846">
                  <w:pPr>
                    <w:rPr>
                      <w:rFonts w:hint="eastAsia"/>
                      <w:bCs/>
                      <w:color w:val="auto"/>
                      <w:sz w:val="21"/>
                      <w:szCs w:val="21"/>
                    </w:rPr>
                  </w:pPr>
                  <w:r>
                    <w:rPr>
                      <w:rFonts w:hint="eastAsia"/>
                      <w:bCs/>
                      <w:color w:val="auto"/>
                      <w:sz w:val="21"/>
                      <w:szCs w:val="21"/>
                      <w:lang w:eastAsia="zh-CN"/>
                    </w:rPr>
                    <w:t>本项目一期不建设喷漆工序以及相应废气治理设施，一期运营期圆盘剪铣边、飞剪、平头倒棱金属粉尘采用防尘挡板、自然沉降作无组织排放；焊接烟尘经布袋除尘器（TA001）+1根20m排气筒（DA001）排放；抛丸粉尘经设备自带布袋除尘器（TA002）+1根20m排气筒（DA002）排放；喷塑废气及胶带、PE带缠绕有机废气经布袋除尘器（TA003）去除喷塑粉尘后与胶带、PE带缠绕有机废气并引入1套二级活性炭吸附装置（TA004）+1根20m高排气筒（DA003）排放。</w:t>
                  </w:r>
                </w:p>
                <w:p w14:paraId="200AA7F6">
                  <w:pPr>
                    <w:rPr>
                      <w:rFonts w:hint="eastAsia" w:eastAsia="宋体"/>
                      <w:bCs/>
                      <w:color w:val="auto"/>
                      <w:sz w:val="21"/>
                      <w:szCs w:val="21"/>
                      <w:lang w:eastAsia="zh-CN"/>
                    </w:rPr>
                  </w:pPr>
                  <w:r>
                    <w:rPr>
                      <w:rFonts w:hint="eastAsia"/>
                      <w:bCs/>
                      <w:color w:val="auto"/>
                      <w:sz w:val="21"/>
                      <w:szCs w:val="21"/>
                    </w:rPr>
                    <w:t>颗粒物排放</w:t>
                  </w:r>
                  <w:r>
                    <w:rPr>
                      <w:rFonts w:hint="eastAsia"/>
                      <w:bCs/>
                      <w:color w:val="auto"/>
                      <w:sz w:val="21"/>
                      <w:szCs w:val="21"/>
                      <w:lang w:eastAsia="zh-CN"/>
                    </w:rPr>
                    <w:t>执行</w:t>
                  </w:r>
                  <w:r>
                    <w:rPr>
                      <w:rFonts w:hint="eastAsia"/>
                      <w:bCs/>
                      <w:color w:val="auto"/>
                      <w:sz w:val="21"/>
                      <w:szCs w:val="21"/>
                    </w:rPr>
                    <w:t>《</w:t>
                  </w:r>
                  <w:r>
                    <w:rPr>
                      <w:rFonts w:hint="eastAsia"/>
                      <w:bCs/>
                      <w:color w:val="auto"/>
                      <w:sz w:val="21"/>
                      <w:szCs w:val="21"/>
                      <w:lang w:eastAsia="zh-CN"/>
                    </w:rPr>
                    <w:t>大气</w:t>
                  </w:r>
                  <w:r>
                    <w:rPr>
                      <w:rFonts w:hint="eastAsia"/>
                      <w:bCs/>
                      <w:color w:val="auto"/>
                      <w:sz w:val="21"/>
                      <w:szCs w:val="21"/>
                    </w:rPr>
                    <w:t>污染物</w:t>
                  </w:r>
                  <w:r>
                    <w:rPr>
                      <w:rFonts w:hint="eastAsia"/>
                      <w:bCs/>
                      <w:color w:val="auto"/>
                      <w:sz w:val="21"/>
                      <w:szCs w:val="21"/>
                      <w:lang w:eastAsia="zh-CN"/>
                    </w:rPr>
                    <w:t>综合</w:t>
                  </w:r>
                  <w:r>
                    <w:rPr>
                      <w:rFonts w:hint="eastAsia"/>
                      <w:bCs/>
                      <w:color w:val="auto"/>
                      <w:sz w:val="21"/>
                      <w:szCs w:val="21"/>
                    </w:rPr>
                    <w:t>排放标准》（GB</w:t>
                  </w:r>
                  <w:r>
                    <w:rPr>
                      <w:rFonts w:hint="eastAsia"/>
                      <w:bCs/>
                      <w:color w:val="auto"/>
                      <w:sz w:val="21"/>
                      <w:szCs w:val="21"/>
                      <w:lang w:val="en-US" w:eastAsia="zh-CN"/>
                    </w:rPr>
                    <w:t>16297-1996</w:t>
                  </w:r>
                  <w:r>
                    <w:rPr>
                      <w:rFonts w:hint="eastAsia"/>
                      <w:bCs/>
                      <w:color w:val="auto"/>
                      <w:sz w:val="21"/>
                      <w:szCs w:val="21"/>
                    </w:rPr>
                    <w:t>）表</w:t>
                  </w:r>
                  <w:r>
                    <w:rPr>
                      <w:rFonts w:hint="eastAsia"/>
                      <w:bCs/>
                      <w:color w:val="auto"/>
                      <w:sz w:val="21"/>
                      <w:szCs w:val="21"/>
                      <w:lang w:val="en-US" w:eastAsia="zh-CN"/>
                    </w:rPr>
                    <w:t>2</w:t>
                  </w:r>
                  <w:r>
                    <w:rPr>
                      <w:rFonts w:hint="eastAsia"/>
                      <w:bCs/>
                      <w:color w:val="auto"/>
                      <w:sz w:val="21"/>
                      <w:szCs w:val="21"/>
                    </w:rPr>
                    <w:t>中</w:t>
                  </w:r>
                  <w:r>
                    <w:rPr>
                      <w:rFonts w:hint="eastAsia"/>
                      <w:bCs/>
                      <w:color w:val="auto"/>
                      <w:sz w:val="21"/>
                      <w:szCs w:val="21"/>
                      <w:lang w:eastAsia="zh-CN"/>
                    </w:rPr>
                    <w:t>二级标准及无组织排放监控浓度限值要求</w:t>
                  </w:r>
                  <w:r>
                    <w:rPr>
                      <w:rFonts w:hint="eastAsia"/>
                      <w:bCs/>
                      <w:color w:val="auto"/>
                      <w:sz w:val="21"/>
                      <w:szCs w:val="21"/>
                    </w:rPr>
                    <w:t>；非甲烷总烃排放执行《挥发性有机物综合排放控制标准（试行）》（DB36/2186-2025）表1、表2和表3中限值要求</w:t>
                  </w:r>
                  <w:r>
                    <w:rPr>
                      <w:rFonts w:hint="eastAsia"/>
                      <w:bCs/>
                      <w:color w:val="auto"/>
                      <w:sz w:val="21"/>
                      <w:szCs w:val="21"/>
                      <w:lang w:eastAsia="zh-CN"/>
                    </w:rPr>
                    <w:t>。</w:t>
                  </w:r>
                </w:p>
              </w:tc>
              <w:tc>
                <w:tcPr>
                  <w:tcW w:w="483" w:type="pct"/>
                  <w:tcBorders>
                    <w:tl2br w:val="nil"/>
                    <w:tr2bl w:val="nil"/>
                  </w:tcBorders>
                  <w:vAlign w:val="center"/>
                </w:tcPr>
                <w:p w14:paraId="2240560A">
                  <w:pPr>
                    <w:jc w:val="center"/>
                    <w:rPr>
                      <w:bCs/>
                      <w:color w:val="auto"/>
                      <w:sz w:val="21"/>
                      <w:szCs w:val="21"/>
                    </w:rPr>
                  </w:pPr>
                  <w:r>
                    <w:rPr>
                      <w:bCs/>
                      <w:color w:val="auto"/>
                      <w:sz w:val="21"/>
                      <w:szCs w:val="21"/>
                    </w:rPr>
                    <w:t>已落实</w:t>
                  </w:r>
                </w:p>
              </w:tc>
            </w:tr>
            <w:tr w14:paraId="3BA53D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434" w:type="pct"/>
                  <w:tcBorders>
                    <w:tl2br w:val="nil"/>
                    <w:tr2bl w:val="nil"/>
                  </w:tcBorders>
                  <w:vAlign w:val="center"/>
                </w:tcPr>
                <w:p w14:paraId="7FB2C4BC">
                  <w:pPr>
                    <w:jc w:val="center"/>
                    <w:rPr>
                      <w:bCs/>
                      <w:color w:val="auto"/>
                      <w:sz w:val="21"/>
                      <w:szCs w:val="21"/>
                    </w:rPr>
                  </w:pPr>
                  <w:r>
                    <w:rPr>
                      <w:rFonts w:hint="eastAsia"/>
                      <w:bCs/>
                      <w:color w:val="auto"/>
                      <w:sz w:val="21"/>
                      <w:szCs w:val="21"/>
                    </w:rPr>
                    <w:t>废水</w:t>
                  </w:r>
                </w:p>
              </w:tc>
              <w:tc>
                <w:tcPr>
                  <w:tcW w:w="2293" w:type="pct"/>
                  <w:tcBorders>
                    <w:tl2br w:val="nil"/>
                    <w:tr2bl w:val="nil"/>
                  </w:tcBorders>
                  <w:vAlign w:val="center"/>
                </w:tcPr>
                <w:p w14:paraId="37FBDBDE">
                  <w:pPr>
                    <w:ind w:firstLine="420" w:firstLineChars="200"/>
                    <w:rPr>
                      <w:color w:val="auto"/>
                      <w:sz w:val="21"/>
                      <w:szCs w:val="21"/>
                    </w:rPr>
                  </w:pPr>
                  <w:r>
                    <w:rPr>
                      <w:rFonts w:hint="eastAsia"/>
                      <w:color w:val="auto"/>
                      <w:sz w:val="21"/>
                      <w:szCs w:val="21"/>
                      <w:lang w:val="en-US" w:eastAsia="zh-CN"/>
                    </w:rPr>
                    <w:t>严格落实水污染防治措施。项目废水主要为生活污水等。应按“清污分流、雨污分流”原则建设厂区排水管网，生活污水经预处理达到武阳污水处理厂接管标准后排入市政污水管道。</w:t>
                  </w:r>
                </w:p>
              </w:tc>
              <w:tc>
                <w:tcPr>
                  <w:tcW w:w="1789" w:type="pct"/>
                  <w:tcBorders>
                    <w:tl2br w:val="nil"/>
                    <w:tr2bl w:val="nil"/>
                  </w:tcBorders>
                  <w:vAlign w:val="center"/>
                </w:tcPr>
                <w:p w14:paraId="29BA7F01">
                  <w:pPr>
                    <w:rPr>
                      <w:bCs/>
                      <w:color w:val="auto"/>
                      <w:sz w:val="21"/>
                      <w:szCs w:val="21"/>
                    </w:rPr>
                  </w:pPr>
                  <w:r>
                    <w:rPr>
                      <w:rFonts w:hint="eastAsia"/>
                      <w:color w:val="auto"/>
                      <w:sz w:val="21"/>
                      <w:szCs w:val="21"/>
                      <w:lang w:val="en-US" w:eastAsia="zh-CN"/>
                    </w:rPr>
                    <w:t>本项目运营期无生产废水外排，生活污水经化粪池处理可达到武阳创业园污水处理厂接管标准和《污水综合排放标准》（GB8978-1996）表4中三级标准通过园区污水管网入武阳创业园污水处理厂深度处理，武阳创业园污水处理厂处理达标后尾水排入清丰山溪。</w:t>
                  </w:r>
                </w:p>
              </w:tc>
              <w:tc>
                <w:tcPr>
                  <w:tcW w:w="483" w:type="pct"/>
                  <w:tcBorders>
                    <w:tl2br w:val="nil"/>
                    <w:tr2bl w:val="nil"/>
                  </w:tcBorders>
                  <w:vAlign w:val="center"/>
                </w:tcPr>
                <w:p w14:paraId="2B73D073">
                  <w:pPr>
                    <w:ind w:left="-105" w:leftChars="-50" w:right="-105" w:rightChars="-50"/>
                    <w:jc w:val="center"/>
                    <w:rPr>
                      <w:color w:val="auto"/>
                      <w:sz w:val="21"/>
                      <w:szCs w:val="21"/>
                    </w:rPr>
                  </w:pPr>
                  <w:r>
                    <w:rPr>
                      <w:color w:val="auto"/>
                      <w:sz w:val="21"/>
                      <w:szCs w:val="21"/>
                    </w:rPr>
                    <w:t>已落实</w:t>
                  </w:r>
                </w:p>
              </w:tc>
            </w:tr>
            <w:tr w14:paraId="281965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4" w:type="pct"/>
                  <w:tcBorders>
                    <w:tl2br w:val="nil"/>
                    <w:tr2bl w:val="nil"/>
                  </w:tcBorders>
                  <w:vAlign w:val="center"/>
                </w:tcPr>
                <w:p w14:paraId="5806C5A5">
                  <w:pPr>
                    <w:jc w:val="center"/>
                    <w:rPr>
                      <w:bCs/>
                      <w:color w:val="auto"/>
                      <w:sz w:val="21"/>
                      <w:szCs w:val="21"/>
                    </w:rPr>
                  </w:pPr>
                  <w:r>
                    <w:rPr>
                      <w:rFonts w:hint="eastAsia"/>
                      <w:bCs/>
                      <w:color w:val="auto"/>
                      <w:sz w:val="21"/>
                      <w:szCs w:val="21"/>
                    </w:rPr>
                    <w:t>噪声</w:t>
                  </w:r>
                </w:p>
              </w:tc>
              <w:tc>
                <w:tcPr>
                  <w:tcW w:w="2293" w:type="pct"/>
                  <w:tcBorders>
                    <w:tl2br w:val="nil"/>
                    <w:tr2bl w:val="nil"/>
                  </w:tcBorders>
                  <w:vAlign w:val="center"/>
                </w:tcPr>
                <w:p w14:paraId="7FA408F1">
                  <w:pPr>
                    <w:ind w:firstLine="420" w:firstLineChars="200"/>
                    <w:rPr>
                      <w:color w:val="auto"/>
                      <w:sz w:val="21"/>
                      <w:szCs w:val="21"/>
                    </w:rPr>
                  </w:pPr>
                  <w:r>
                    <w:rPr>
                      <w:rFonts w:hint="eastAsia"/>
                      <w:color w:val="auto"/>
                      <w:sz w:val="21"/>
                      <w:szCs w:val="21"/>
                      <w:lang w:val="en-US" w:eastAsia="zh-CN"/>
                    </w:rPr>
                    <w:t>噪声污染防治要求。合理布局、加强管理，选用低噪声设备，对噪声源采取减震、隔振、消声等措施，以减轻对周边环境的影响。厂界噪声必须达到《工业企业厂界环境噪声排放标准》(GB12348-2008)中3类标准。</w:t>
                  </w:r>
                </w:p>
              </w:tc>
              <w:tc>
                <w:tcPr>
                  <w:tcW w:w="1789" w:type="pct"/>
                  <w:tcBorders>
                    <w:tl2br w:val="nil"/>
                    <w:tr2bl w:val="nil"/>
                  </w:tcBorders>
                  <w:vAlign w:val="center"/>
                </w:tcPr>
                <w:p w14:paraId="4D8B34FE">
                  <w:pPr>
                    <w:jc w:val="center"/>
                    <w:rPr>
                      <w:bCs/>
                      <w:color w:val="auto"/>
                      <w:sz w:val="21"/>
                      <w:szCs w:val="21"/>
                    </w:rPr>
                  </w:pPr>
                  <w:r>
                    <w:rPr>
                      <w:rFonts w:hint="eastAsia"/>
                      <w:color w:val="auto"/>
                      <w:sz w:val="21"/>
                      <w:szCs w:val="21"/>
                      <w:lang w:val="en-US" w:eastAsia="zh-CN"/>
                    </w:rPr>
                    <w:t>本项目运营期噪声源主要为生产设备运行过程中产生的噪声，通过采取低噪设备、减振降噪、墙壁隔声、厂界绿化等措施后，项目运营期厂界噪声执行《工业企业厂界环境噪声排放标准》（GB12348-2008）中3类标准。</w:t>
                  </w:r>
                </w:p>
              </w:tc>
              <w:tc>
                <w:tcPr>
                  <w:tcW w:w="483" w:type="pct"/>
                  <w:tcBorders>
                    <w:tl2br w:val="nil"/>
                    <w:tr2bl w:val="nil"/>
                  </w:tcBorders>
                  <w:vAlign w:val="center"/>
                </w:tcPr>
                <w:p w14:paraId="20C71D29">
                  <w:pPr>
                    <w:jc w:val="center"/>
                    <w:rPr>
                      <w:color w:val="auto"/>
                      <w:sz w:val="21"/>
                      <w:szCs w:val="21"/>
                    </w:rPr>
                  </w:pPr>
                  <w:r>
                    <w:rPr>
                      <w:color w:val="auto"/>
                      <w:sz w:val="21"/>
                      <w:szCs w:val="21"/>
                    </w:rPr>
                    <w:t>已落实</w:t>
                  </w:r>
                </w:p>
              </w:tc>
            </w:tr>
            <w:tr w14:paraId="348E94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34" w:type="pct"/>
                  <w:tcBorders>
                    <w:tl2br w:val="nil"/>
                    <w:tr2bl w:val="nil"/>
                  </w:tcBorders>
                  <w:vAlign w:val="center"/>
                </w:tcPr>
                <w:p w14:paraId="644C7194">
                  <w:pPr>
                    <w:jc w:val="center"/>
                    <w:rPr>
                      <w:bCs/>
                      <w:color w:val="auto"/>
                      <w:sz w:val="21"/>
                      <w:szCs w:val="21"/>
                    </w:rPr>
                  </w:pPr>
                  <w:r>
                    <w:rPr>
                      <w:rFonts w:hint="eastAsia"/>
                      <w:bCs/>
                      <w:color w:val="auto"/>
                      <w:sz w:val="21"/>
                      <w:szCs w:val="21"/>
                    </w:rPr>
                    <w:t>固废</w:t>
                  </w:r>
                </w:p>
              </w:tc>
              <w:tc>
                <w:tcPr>
                  <w:tcW w:w="2293" w:type="pct"/>
                  <w:tcBorders>
                    <w:tl2br w:val="nil"/>
                    <w:tr2bl w:val="nil"/>
                  </w:tcBorders>
                  <w:vAlign w:val="center"/>
                </w:tcPr>
                <w:p w14:paraId="3C2D7141">
                  <w:pPr>
                    <w:ind w:firstLine="420" w:firstLineChars="200"/>
                    <w:rPr>
                      <w:rFonts w:hint="eastAsia"/>
                      <w:color w:val="auto"/>
                      <w:sz w:val="21"/>
                      <w:szCs w:val="21"/>
                      <w:lang w:val="en-US" w:eastAsia="zh-CN"/>
                    </w:rPr>
                  </w:pPr>
                  <w:r>
                    <w:rPr>
                      <w:rFonts w:hint="eastAsia"/>
                      <w:color w:val="auto"/>
                      <w:sz w:val="21"/>
                      <w:szCs w:val="21"/>
                      <w:lang w:val="en-US" w:eastAsia="zh-CN"/>
                    </w:rPr>
                    <w:t>严格落实固体废物分类处置和综合利用措施。应按“资源化、减量化、无害化”处置原则，认真落实废边角料、焊渣、废钢丸、布袋除尘器收集的抛丸粉尘、布袋除尘器收集的喷塑粉尘、收集的金属粉尘、废布袋、废一般包装材料、沉渣、废过滤棉、废活性炭、废催化剂、油漆包装桶、稀释剂包装桶、固化剂包装桶、废润滑油、废液压油、废油桶、废抹布及废手套等各类固体废物收集，处置和综合利用措施。一般工业固体废物暂存库应按《一般工业固体废物贮存、处置场污染控制标准》(GB18599-2020)的要求建设，危废暂存库应按《危险废物贮存污染控制标准》(GB18597-2023)的相关要求建设。</w:t>
                  </w:r>
                </w:p>
                <w:p w14:paraId="4E17071A">
                  <w:pPr>
                    <w:ind w:firstLine="420" w:firstLineChars="200"/>
                    <w:rPr>
                      <w:color w:val="auto"/>
                      <w:sz w:val="21"/>
                      <w:szCs w:val="21"/>
                    </w:rPr>
                  </w:pPr>
                </w:p>
              </w:tc>
              <w:tc>
                <w:tcPr>
                  <w:tcW w:w="1789" w:type="pct"/>
                  <w:tcBorders>
                    <w:tl2br w:val="nil"/>
                    <w:tr2bl w:val="nil"/>
                  </w:tcBorders>
                  <w:vAlign w:val="center"/>
                </w:tcPr>
                <w:p w14:paraId="740A2B4B">
                  <w:pPr>
                    <w:rPr>
                      <w:rFonts w:hint="default"/>
                      <w:color w:val="auto"/>
                      <w:sz w:val="21"/>
                      <w:szCs w:val="21"/>
                      <w:lang w:val="en-US" w:eastAsia="zh-CN"/>
                    </w:rPr>
                  </w:pPr>
                  <w:r>
                    <w:rPr>
                      <w:rFonts w:hint="eastAsia"/>
                      <w:color w:val="auto"/>
                      <w:sz w:val="21"/>
                      <w:szCs w:val="21"/>
                      <w:lang w:val="en-US" w:eastAsia="zh-CN"/>
                    </w:rPr>
                    <w:t>本项目一期不建设</w:t>
                  </w:r>
                  <w:r>
                    <w:rPr>
                      <w:rFonts w:hint="eastAsia"/>
                      <w:bCs/>
                      <w:color w:val="auto"/>
                      <w:sz w:val="21"/>
                      <w:szCs w:val="21"/>
                      <w:lang w:eastAsia="zh-CN"/>
                    </w:rPr>
                    <w:t>喷漆工序以及相应废气治理设施，固废不涉及</w:t>
                  </w:r>
                  <w:r>
                    <w:rPr>
                      <w:rFonts w:hint="eastAsia"/>
                      <w:color w:val="auto"/>
                      <w:sz w:val="21"/>
                      <w:szCs w:val="21"/>
                      <w:lang w:val="en-US" w:eastAsia="zh-CN"/>
                    </w:rPr>
                    <w:t>废过滤棉、废催化剂、油漆包装桶、稀释剂包装桶、固化剂包装桶；一期运营期产生的废边角料、焊渣、废钢丸、布袋除尘器收集的抛丸粉尘、布袋除尘器收集的喷塑粉尘、收集的金属粉尘、废布袋、废一般包装材料、沉渣统一收集后暂存于一般工业固废暂存间（200m</w:t>
                  </w:r>
                  <w:r>
                    <w:rPr>
                      <w:rFonts w:hint="eastAsia"/>
                      <w:color w:val="auto"/>
                      <w:sz w:val="21"/>
                      <w:szCs w:val="21"/>
                      <w:vertAlign w:val="superscript"/>
                      <w:lang w:val="en-US" w:eastAsia="zh-CN"/>
                    </w:rPr>
                    <w:t>2</w:t>
                  </w:r>
                  <w:r>
                    <w:rPr>
                      <w:rFonts w:hint="eastAsia"/>
                      <w:color w:val="auto"/>
                      <w:sz w:val="21"/>
                      <w:szCs w:val="21"/>
                      <w:lang w:val="en-US" w:eastAsia="zh-CN"/>
                    </w:rPr>
                    <w:t>）外售处理；废活性炭、废润滑油、废液压油、废油桶、废抹布及手套暂存于危废暂存间（10m</w:t>
                  </w:r>
                  <w:r>
                    <w:rPr>
                      <w:rFonts w:hint="eastAsia"/>
                      <w:color w:val="auto"/>
                      <w:sz w:val="21"/>
                      <w:szCs w:val="21"/>
                      <w:vertAlign w:val="superscript"/>
                      <w:lang w:val="en-US" w:eastAsia="zh-CN"/>
                    </w:rPr>
                    <w:t>2</w:t>
                  </w:r>
                  <w:r>
                    <w:rPr>
                      <w:rFonts w:hint="eastAsia"/>
                      <w:color w:val="auto"/>
                      <w:sz w:val="21"/>
                      <w:szCs w:val="21"/>
                      <w:lang w:val="en-US" w:eastAsia="zh-CN"/>
                    </w:rPr>
                    <w:t>）定期交由有资质单位处理；生活垃圾交由当地的环卫部门处置。</w:t>
                  </w:r>
                </w:p>
                <w:p w14:paraId="5306C90E">
                  <w:pPr>
                    <w:keepNext w:val="0"/>
                    <w:keepLines w:val="0"/>
                    <w:pageBreakBefore w:val="0"/>
                    <w:widowControl w:val="0"/>
                    <w:kinsoku/>
                    <w:wordWrap/>
                    <w:overflowPunct/>
                    <w:topLinePunct/>
                    <w:autoSpaceDE/>
                    <w:autoSpaceDN/>
                    <w:bidi w:val="0"/>
                    <w:adjustRightInd/>
                    <w:snapToGrid/>
                    <w:ind w:firstLine="420" w:firstLineChars="200"/>
                    <w:textAlignment w:val="auto"/>
                    <w:rPr>
                      <w:color w:val="auto"/>
                      <w:sz w:val="21"/>
                      <w:szCs w:val="21"/>
                    </w:rPr>
                  </w:pPr>
                  <w:r>
                    <w:rPr>
                      <w:rFonts w:hint="eastAsia"/>
                      <w:color w:val="auto"/>
                      <w:sz w:val="21"/>
                      <w:szCs w:val="21"/>
                      <w:lang w:eastAsia="zh-CN"/>
                    </w:rPr>
                    <w:t>危险废物暂存库设计、建设和运行执行《危险废物贮存污染控制标准》（</w:t>
                  </w:r>
                  <w:r>
                    <w:rPr>
                      <w:rFonts w:hint="eastAsia"/>
                      <w:color w:val="auto"/>
                      <w:sz w:val="21"/>
                      <w:szCs w:val="21"/>
                      <w:lang w:val="en-US" w:eastAsia="zh-CN"/>
                    </w:rPr>
                    <w:t>GB18597-2023</w:t>
                  </w:r>
                  <w:r>
                    <w:rPr>
                      <w:rFonts w:hint="eastAsia"/>
                      <w:color w:val="auto"/>
                      <w:sz w:val="21"/>
                      <w:szCs w:val="21"/>
                      <w:lang w:eastAsia="zh-CN"/>
                    </w:rPr>
                    <w:t>）要求；一般工业固体废物暂存库设计、建设和运行必须满足《一般工业固体废物贮存和填埋污染控制标准》（</w:t>
                  </w:r>
                  <w:r>
                    <w:rPr>
                      <w:rFonts w:hint="eastAsia"/>
                      <w:color w:val="auto"/>
                      <w:sz w:val="21"/>
                      <w:szCs w:val="21"/>
                      <w:lang w:val="en-US" w:eastAsia="zh-CN"/>
                    </w:rPr>
                    <w:t>GB18599-2020）要求。</w:t>
                  </w:r>
                </w:p>
              </w:tc>
              <w:tc>
                <w:tcPr>
                  <w:tcW w:w="483" w:type="pct"/>
                  <w:tcBorders>
                    <w:tl2br w:val="nil"/>
                    <w:tr2bl w:val="nil"/>
                  </w:tcBorders>
                  <w:vAlign w:val="center"/>
                </w:tcPr>
                <w:p w14:paraId="4399A2E8">
                  <w:pPr>
                    <w:jc w:val="center"/>
                    <w:rPr>
                      <w:color w:val="auto"/>
                      <w:sz w:val="21"/>
                      <w:szCs w:val="21"/>
                    </w:rPr>
                  </w:pPr>
                  <w:r>
                    <w:rPr>
                      <w:rFonts w:hint="eastAsia"/>
                      <w:color w:val="auto"/>
                      <w:sz w:val="21"/>
                      <w:szCs w:val="21"/>
                    </w:rPr>
                    <w:t>已落实</w:t>
                  </w:r>
                </w:p>
              </w:tc>
            </w:tr>
            <w:tr w14:paraId="204912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34" w:type="pct"/>
                  <w:tcBorders>
                    <w:tl2br w:val="nil"/>
                    <w:tr2bl w:val="nil"/>
                  </w:tcBorders>
                  <w:vAlign w:val="center"/>
                </w:tcPr>
                <w:p w14:paraId="629C1733">
                  <w:pPr>
                    <w:jc w:val="center"/>
                    <w:rPr>
                      <w:rFonts w:hint="eastAsia" w:eastAsia="宋体"/>
                      <w:bCs/>
                      <w:color w:val="auto"/>
                      <w:sz w:val="21"/>
                      <w:szCs w:val="21"/>
                      <w:lang w:eastAsia="zh-CN"/>
                    </w:rPr>
                  </w:pPr>
                  <w:r>
                    <w:rPr>
                      <w:rFonts w:hint="eastAsia"/>
                      <w:bCs/>
                      <w:color w:val="auto"/>
                      <w:sz w:val="21"/>
                      <w:szCs w:val="21"/>
                      <w:lang w:eastAsia="zh-CN"/>
                    </w:rPr>
                    <w:t>土壤及地下水</w:t>
                  </w:r>
                </w:p>
              </w:tc>
              <w:tc>
                <w:tcPr>
                  <w:tcW w:w="2293" w:type="pct"/>
                  <w:tcBorders>
                    <w:tl2br w:val="nil"/>
                    <w:tr2bl w:val="nil"/>
                  </w:tcBorders>
                  <w:vAlign w:val="center"/>
                </w:tcPr>
                <w:p w14:paraId="2E8A6BE0">
                  <w:pPr>
                    <w:ind w:firstLine="420" w:firstLineChars="200"/>
                    <w:rPr>
                      <w:rFonts w:hint="eastAsia"/>
                      <w:color w:val="auto"/>
                      <w:sz w:val="21"/>
                      <w:szCs w:val="21"/>
                    </w:rPr>
                  </w:pPr>
                  <w:r>
                    <w:rPr>
                      <w:rFonts w:hint="eastAsia"/>
                      <w:color w:val="auto"/>
                      <w:sz w:val="21"/>
                      <w:szCs w:val="21"/>
                      <w:lang w:val="en-US" w:eastAsia="zh-CN"/>
                    </w:rPr>
                    <w:t>严格落实土壤和地下水污染防治措施。按照“源头控制、分区防治、污染监控”原则做好土壤和地下水污染防治工作。对重点防治区（喷漆房、危废暂存库等）进行防腐防渗处理，并定期进行维护管理。</w:t>
                  </w:r>
                </w:p>
              </w:tc>
              <w:tc>
                <w:tcPr>
                  <w:tcW w:w="1789" w:type="pct"/>
                  <w:tcBorders>
                    <w:tl2br w:val="nil"/>
                    <w:tr2bl w:val="nil"/>
                  </w:tcBorders>
                  <w:vAlign w:val="center"/>
                </w:tcPr>
                <w:p w14:paraId="395736C1">
                  <w:pPr>
                    <w:topLinePunct/>
                    <w:jc w:val="left"/>
                    <w:rPr>
                      <w:rFonts w:hint="default" w:eastAsia="宋体"/>
                      <w:color w:val="auto"/>
                      <w:sz w:val="21"/>
                      <w:szCs w:val="21"/>
                      <w:lang w:val="en-US" w:eastAsia="zh-CN"/>
                    </w:rPr>
                  </w:pPr>
                  <w:r>
                    <w:rPr>
                      <w:rFonts w:hint="eastAsia"/>
                      <w:color w:val="auto"/>
                      <w:sz w:val="21"/>
                      <w:szCs w:val="21"/>
                      <w:lang w:val="en-US" w:eastAsia="zh-CN"/>
                    </w:rPr>
                    <w:t>本项目一期运营期危险废物暂存间设置为重点防渗区，一般固废暂存间、分条区、螺旋管埋弧焊机组区、平头倒棱区、补焊区、抛丸除锈区、喷塑缠绕水冷一体生产线区、大管径钢管压弯卷管区、化粪池设置为一般防渗区，其余为简单防渗区</w:t>
                  </w:r>
                  <w:r>
                    <w:rPr>
                      <w:rFonts w:hint="eastAsia"/>
                      <w:color w:val="auto"/>
                      <w:sz w:val="21"/>
                      <w:szCs w:val="21"/>
                      <w:lang w:eastAsia="zh-CN"/>
                    </w:rPr>
                    <w:t>。</w:t>
                  </w:r>
                </w:p>
              </w:tc>
              <w:tc>
                <w:tcPr>
                  <w:tcW w:w="483" w:type="pct"/>
                  <w:tcBorders>
                    <w:tl2br w:val="nil"/>
                    <w:tr2bl w:val="nil"/>
                  </w:tcBorders>
                  <w:vAlign w:val="center"/>
                </w:tcPr>
                <w:p w14:paraId="2308A2D2">
                  <w:pPr>
                    <w:jc w:val="center"/>
                    <w:rPr>
                      <w:rFonts w:hint="eastAsia" w:eastAsia="宋体"/>
                      <w:color w:val="auto"/>
                      <w:sz w:val="21"/>
                      <w:szCs w:val="21"/>
                      <w:lang w:eastAsia="zh-CN"/>
                    </w:rPr>
                  </w:pPr>
                  <w:r>
                    <w:rPr>
                      <w:rFonts w:hint="eastAsia"/>
                      <w:color w:val="auto"/>
                      <w:sz w:val="21"/>
                      <w:szCs w:val="21"/>
                      <w:lang w:eastAsia="zh-CN"/>
                    </w:rPr>
                    <w:t>已落实</w:t>
                  </w:r>
                </w:p>
              </w:tc>
            </w:tr>
            <w:tr w14:paraId="7B9C37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34" w:type="pct"/>
                  <w:tcBorders>
                    <w:tl2br w:val="nil"/>
                    <w:tr2bl w:val="nil"/>
                  </w:tcBorders>
                  <w:vAlign w:val="center"/>
                </w:tcPr>
                <w:p w14:paraId="2D77E641">
                  <w:pPr>
                    <w:jc w:val="center"/>
                    <w:rPr>
                      <w:rFonts w:hint="eastAsia"/>
                      <w:bCs/>
                      <w:color w:val="auto"/>
                      <w:sz w:val="21"/>
                      <w:szCs w:val="21"/>
                      <w:lang w:eastAsia="zh-CN"/>
                    </w:rPr>
                  </w:pPr>
                  <w:r>
                    <w:rPr>
                      <w:rFonts w:hint="eastAsia"/>
                      <w:bCs/>
                      <w:color w:val="auto"/>
                      <w:sz w:val="21"/>
                      <w:szCs w:val="21"/>
                      <w:lang w:eastAsia="zh-CN"/>
                    </w:rPr>
                    <w:t>环境风险</w:t>
                  </w:r>
                </w:p>
              </w:tc>
              <w:tc>
                <w:tcPr>
                  <w:tcW w:w="2293" w:type="pct"/>
                  <w:tcBorders>
                    <w:tl2br w:val="nil"/>
                    <w:tr2bl w:val="nil"/>
                  </w:tcBorders>
                  <w:vAlign w:val="center"/>
                </w:tcPr>
                <w:p w14:paraId="500F58DF">
                  <w:pPr>
                    <w:ind w:firstLine="420" w:firstLineChars="200"/>
                    <w:rPr>
                      <w:rFonts w:hint="eastAsia"/>
                      <w:color w:val="auto"/>
                      <w:sz w:val="21"/>
                      <w:szCs w:val="21"/>
                    </w:rPr>
                  </w:pPr>
                  <w:r>
                    <w:rPr>
                      <w:rFonts w:hint="eastAsia"/>
                      <w:color w:val="auto"/>
                      <w:sz w:val="21"/>
                      <w:szCs w:val="21"/>
                      <w:lang w:val="en-US" w:eastAsia="zh-CN"/>
                    </w:rPr>
                    <w:t>严格落实环境风险防控措施，认真制定环境风险应急预案，配备环境应急设施和装备。一旦发生环境风险事故，必须立即启动环境风险应急预案，减轻对外环境的污染影响。项目配套的环保设备设施应落实安全生产要求，依法依规履行安全生产相关手续，报经相关职能部门审批同意后方可实施。有效防范因污染物事故排放或安全生产事故可能引发的环境风险，确保周边环境安全。</w:t>
                  </w:r>
                </w:p>
              </w:tc>
              <w:tc>
                <w:tcPr>
                  <w:tcW w:w="1789" w:type="pct"/>
                  <w:tcBorders>
                    <w:tl2br w:val="nil"/>
                    <w:tr2bl w:val="nil"/>
                  </w:tcBorders>
                  <w:vAlign w:val="center"/>
                </w:tcPr>
                <w:p w14:paraId="38AE5B9C">
                  <w:pPr>
                    <w:topLinePunct/>
                    <w:rPr>
                      <w:rFonts w:hint="eastAsia" w:eastAsia="宋体"/>
                      <w:color w:val="auto"/>
                      <w:sz w:val="21"/>
                      <w:szCs w:val="21"/>
                      <w:lang w:eastAsia="zh-CN"/>
                    </w:rPr>
                  </w:pPr>
                  <w:r>
                    <w:rPr>
                      <w:rFonts w:hint="eastAsia"/>
                      <w:color w:val="auto"/>
                      <w:sz w:val="21"/>
                      <w:szCs w:val="21"/>
                      <w:lang w:eastAsia="zh-CN"/>
                    </w:rPr>
                    <w:t>严格</w:t>
                  </w:r>
                  <w:r>
                    <w:rPr>
                      <w:rFonts w:hint="eastAsia"/>
                      <w:color w:val="auto"/>
                      <w:sz w:val="21"/>
                      <w:szCs w:val="21"/>
                      <w:lang w:val="en-US" w:eastAsia="zh-CN"/>
                    </w:rPr>
                    <w:t>落实环境风险防控措施，依法依规履行安全生产相关手续</w:t>
                  </w:r>
                </w:p>
              </w:tc>
              <w:tc>
                <w:tcPr>
                  <w:tcW w:w="483" w:type="pct"/>
                  <w:tcBorders>
                    <w:tl2br w:val="nil"/>
                    <w:tr2bl w:val="nil"/>
                  </w:tcBorders>
                  <w:vAlign w:val="center"/>
                </w:tcPr>
                <w:p w14:paraId="6DA3D89B">
                  <w:pPr>
                    <w:jc w:val="center"/>
                    <w:rPr>
                      <w:rFonts w:hint="eastAsia"/>
                      <w:color w:val="auto"/>
                      <w:sz w:val="21"/>
                      <w:szCs w:val="21"/>
                    </w:rPr>
                  </w:pPr>
                  <w:r>
                    <w:rPr>
                      <w:rFonts w:hint="eastAsia"/>
                      <w:color w:val="auto"/>
                      <w:sz w:val="21"/>
                      <w:szCs w:val="21"/>
                      <w:lang w:eastAsia="zh-CN"/>
                    </w:rPr>
                    <w:t>已</w:t>
                  </w:r>
                  <w:r>
                    <w:rPr>
                      <w:rFonts w:hint="eastAsia"/>
                      <w:color w:val="auto"/>
                      <w:sz w:val="21"/>
                      <w:szCs w:val="21"/>
                    </w:rPr>
                    <w:t>落实</w:t>
                  </w:r>
                </w:p>
              </w:tc>
            </w:tr>
            <w:tr w14:paraId="319C6D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34" w:type="pct"/>
                  <w:tcBorders>
                    <w:tl2br w:val="nil"/>
                    <w:tr2bl w:val="nil"/>
                  </w:tcBorders>
                  <w:vAlign w:val="center"/>
                </w:tcPr>
                <w:p w14:paraId="7428ABA7">
                  <w:pPr>
                    <w:jc w:val="center"/>
                    <w:rPr>
                      <w:rFonts w:hint="eastAsia"/>
                      <w:bCs/>
                      <w:color w:val="auto"/>
                      <w:sz w:val="21"/>
                      <w:szCs w:val="21"/>
                      <w:lang w:eastAsia="zh-CN"/>
                    </w:rPr>
                  </w:pPr>
                  <w:r>
                    <w:rPr>
                      <w:rFonts w:hint="eastAsia"/>
                      <w:bCs/>
                      <w:color w:val="auto"/>
                      <w:sz w:val="21"/>
                      <w:szCs w:val="21"/>
                      <w:lang w:eastAsia="zh-CN"/>
                    </w:rPr>
                    <w:t>排污口规范化</w:t>
                  </w:r>
                </w:p>
              </w:tc>
              <w:tc>
                <w:tcPr>
                  <w:tcW w:w="2293" w:type="pct"/>
                  <w:tcBorders>
                    <w:tl2br w:val="nil"/>
                    <w:tr2bl w:val="nil"/>
                  </w:tcBorders>
                  <w:vAlign w:val="center"/>
                </w:tcPr>
                <w:p w14:paraId="6C152E4F">
                  <w:pPr>
                    <w:ind w:firstLine="420" w:firstLineChars="200"/>
                    <w:rPr>
                      <w:rFonts w:hint="eastAsia"/>
                      <w:color w:val="auto"/>
                      <w:sz w:val="21"/>
                      <w:szCs w:val="21"/>
                    </w:rPr>
                  </w:pPr>
                  <w:r>
                    <w:rPr>
                      <w:rFonts w:hint="eastAsia"/>
                      <w:color w:val="auto"/>
                      <w:sz w:val="21"/>
                      <w:szCs w:val="21"/>
                      <w:lang w:val="en-US" w:eastAsia="zh-CN"/>
                    </w:rPr>
                    <w:t>排污口规范化要求。按照生态环境部要求规范排污口建设，设置各类排污口标识。</w:t>
                  </w:r>
                </w:p>
              </w:tc>
              <w:tc>
                <w:tcPr>
                  <w:tcW w:w="1789" w:type="pct"/>
                  <w:tcBorders>
                    <w:tl2br w:val="nil"/>
                    <w:tr2bl w:val="nil"/>
                  </w:tcBorders>
                  <w:vAlign w:val="center"/>
                </w:tcPr>
                <w:p w14:paraId="6ECCD19C">
                  <w:pPr>
                    <w:jc w:val="center"/>
                    <w:rPr>
                      <w:rFonts w:hint="eastAsia"/>
                      <w:color w:val="auto"/>
                      <w:sz w:val="21"/>
                      <w:szCs w:val="21"/>
                    </w:rPr>
                  </w:pPr>
                  <w:r>
                    <w:rPr>
                      <w:color w:val="auto"/>
                      <w:sz w:val="21"/>
                      <w:szCs w:val="21"/>
                    </w:rPr>
                    <w:t>已设置</w:t>
                  </w:r>
                </w:p>
              </w:tc>
              <w:tc>
                <w:tcPr>
                  <w:tcW w:w="483" w:type="pct"/>
                  <w:tcBorders>
                    <w:tl2br w:val="nil"/>
                    <w:tr2bl w:val="nil"/>
                  </w:tcBorders>
                  <w:vAlign w:val="center"/>
                </w:tcPr>
                <w:p w14:paraId="5B2BE7DC">
                  <w:pPr>
                    <w:jc w:val="center"/>
                    <w:rPr>
                      <w:rFonts w:hint="eastAsia"/>
                      <w:color w:val="auto"/>
                      <w:sz w:val="21"/>
                      <w:szCs w:val="21"/>
                    </w:rPr>
                  </w:pPr>
                  <w:r>
                    <w:rPr>
                      <w:color w:val="auto"/>
                      <w:sz w:val="21"/>
                      <w:szCs w:val="21"/>
                    </w:rPr>
                    <w:t>已落实</w:t>
                  </w:r>
                </w:p>
              </w:tc>
            </w:tr>
            <w:tr w14:paraId="5DCE6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34" w:type="pct"/>
                  <w:tcBorders>
                    <w:tl2br w:val="nil"/>
                    <w:tr2bl w:val="nil"/>
                  </w:tcBorders>
                  <w:vAlign w:val="center"/>
                </w:tcPr>
                <w:p w14:paraId="429499A0">
                  <w:pPr>
                    <w:topLinePunct/>
                    <w:jc w:val="center"/>
                    <w:rPr>
                      <w:rFonts w:hint="eastAsia" w:eastAsia="宋体"/>
                      <w:color w:val="auto"/>
                      <w:sz w:val="21"/>
                      <w:szCs w:val="21"/>
                      <w:lang w:val="en-US" w:eastAsia="zh-CN"/>
                    </w:rPr>
                  </w:pPr>
                  <w:r>
                    <w:rPr>
                      <w:rFonts w:hint="eastAsia" w:eastAsia="宋体"/>
                      <w:color w:val="auto"/>
                      <w:sz w:val="21"/>
                      <w:szCs w:val="21"/>
                      <w:lang w:val="en-US" w:eastAsia="zh-CN"/>
                    </w:rPr>
                    <w:t>周围规划控制</w:t>
                  </w:r>
                </w:p>
              </w:tc>
              <w:tc>
                <w:tcPr>
                  <w:tcW w:w="2293" w:type="pct"/>
                  <w:tcBorders>
                    <w:tl2br w:val="nil"/>
                    <w:tr2bl w:val="nil"/>
                  </w:tcBorders>
                  <w:vAlign w:val="center"/>
                </w:tcPr>
                <w:p w14:paraId="3D77A2BE">
                  <w:pPr>
                    <w:topLinePunct/>
                    <w:jc w:val="center"/>
                    <w:rPr>
                      <w:rFonts w:hint="eastAsia" w:eastAsia="宋体"/>
                      <w:color w:val="auto"/>
                      <w:sz w:val="21"/>
                      <w:szCs w:val="21"/>
                      <w:lang w:val="en-US" w:eastAsia="zh-CN"/>
                    </w:rPr>
                  </w:pPr>
                  <w:r>
                    <w:rPr>
                      <w:rFonts w:hint="eastAsia" w:eastAsia="宋体"/>
                      <w:color w:val="auto"/>
                      <w:sz w:val="21"/>
                      <w:szCs w:val="21"/>
                      <w:lang w:val="en-US" w:eastAsia="zh-CN"/>
                    </w:rPr>
                    <w:t>项目周边规划控制要求。项目环境防护距离应满足环境影响报告提出的要求，防护距离内民房未完成拆迁前，该项目不得进行生产运营。八一乡人民政府应落实好规划控制要求，本项目环境防护距离范围内不得新建居民住宅、学校及医院等环境敏感建筑。</w:t>
                  </w:r>
                </w:p>
              </w:tc>
              <w:tc>
                <w:tcPr>
                  <w:tcW w:w="1789" w:type="pct"/>
                  <w:tcBorders>
                    <w:tl2br w:val="nil"/>
                    <w:tr2bl w:val="nil"/>
                  </w:tcBorders>
                  <w:vAlign w:val="center"/>
                </w:tcPr>
                <w:p w14:paraId="3D8CADF3">
                  <w:pPr>
                    <w:topLinePunct/>
                    <w:jc w:val="center"/>
                    <w:rPr>
                      <w:rFonts w:hint="eastAsia" w:eastAsia="宋体"/>
                      <w:color w:val="auto"/>
                      <w:sz w:val="21"/>
                      <w:szCs w:val="21"/>
                      <w:lang w:eastAsia="zh-CN"/>
                    </w:rPr>
                  </w:pPr>
                  <w:r>
                    <w:rPr>
                      <w:rFonts w:hint="default" w:ascii="Times New Roman" w:hAnsi="Times New Roman" w:cs="Times New Roman"/>
                      <w:color w:val="auto"/>
                      <w:sz w:val="21"/>
                      <w:szCs w:val="21"/>
                      <w:lang w:val="en-US" w:eastAsia="zh-CN"/>
                    </w:rPr>
                    <w:t>本项目生产车间50m</w:t>
                  </w:r>
                  <w:r>
                    <w:rPr>
                      <w:rFonts w:hint="eastAsia" w:cs="Times New Roman"/>
                      <w:color w:val="auto"/>
                      <w:sz w:val="21"/>
                      <w:szCs w:val="21"/>
                      <w:lang w:val="en-US" w:eastAsia="zh-CN"/>
                    </w:rPr>
                    <w:t>卫生防护距离</w:t>
                  </w:r>
                  <w:r>
                    <w:rPr>
                      <w:rFonts w:hint="default" w:ascii="Times New Roman" w:hAnsi="Times New Roman" w:cs="Times New Roman"/>
                      <w:color w:val="auto"/>
                      <w:sz w:val="21"/>
                      <w:szCs w:val="21"/>
                      <w:lang w:val="en-US" w:eastAsia="zh-CN"/>
                    </w:rPr>
                    <w:t>内</w:t>
                  </w:r>
                  <w:r>
                    <w:rPr>
                      <w:rFonts w:hint="eastAsia" w:cs="Times New Roman"/>
                      <w:color w:val="auto"/>
                      <w:sz w:val="21"/>
                      <w:szCs w:val="21"/>
                      <w:lang w:val="en-US" w:eastAsia="zh-CN"/>
                    </w:rPr>
                    <w:t>3栋居民房屋已被水联（江西）管道装备有限公司租赁用于员工宿舍，因此卫生防护距离</w:t>
                  </w:r>
                  <w:r>
                    <w:rPr>
                      <w:rFonts w:hint="default" w:ascii="Times New Roman" w:hAnsi="Times New Roman" w:cs="Times New Roman"/>
                      <w:color w:val="auto"/>
                      <w:sz w:val="21"/>
                      <w:szCs w:val="21"/>
                      <w:lang w:val="en-US" w:eastAsia="zh-CN"/>
                    </w:rPr>
                    <w:t>内无敏感点</w:t>
                  </w:r>
                  <w:r>
                    <w:rPr>
                      <w:rFonts w:hint="eastAsia"/>
                      <w:color w:val="auto"/>
                      <w:sz w:val="21"/>
                      <w:szCs w:val="21"/>
                      <w:lang w:val="en-US" w:eastAsia="zh-CN"/>
                    </w:rPr>
                    <w:t>已配合规划部门，严格控制好本项目周边规划</w:t>
                  </w:r>
                </w:p>
              </w:tc>
              <w:tc>
                <w:tcPr>
                  <w:tcW w:w="483" w:type="pct"/>
                  <w:tcBorders>
                    <w:tl2br w:val="nil"/>
                    <w:tr2bl w:val="nil"/>
                  </w:tcBorders>
                  <w:vAlign w:val="center"/>
                </w:tcPr>
                <w:p w14:paraId="6B1F545C">
                  <w:pPr>
                    <w:jc w:val="center"/>
                    <w:rPr>
                      <w:rFonts w:hint="eastAsia" w:eastAsia="宋体"/>
                      <w:color w:val="auto"/>
                      <w:sz w:val="21"/>
                      <w:szCs w:val="21"/>
                      <w:lang w:eastAsia="zh-CN"/>
                    </w:rPr>
                  </w:pPr>
                  <w:r>
                    <w:rPr>
                      <w:rFonts w:hint="eastAsia"/>
                      <w:color w:val="auto"/>
                      <w:sz w:val="21"/>
                      <w:szCs w:val="21"/>
                      <w:lang w:eastAsia="zh-CN"/>
                    </w:rPr>
                    <w:t>已落实</w:t>
                  </w:r>
                </w:p>
              </w:tc>
            </w:tr>
            <w:tr w14:paraId="1E1FE0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34" w:type="pct"/>
                  <w:tcBorders>
                    <w:tl2br w:val="nil"/>
                    <w:tr2bl w:val="nil"/>
                  </w:tcBorders>
                  <w:vAlign w:val="center"/>
                </w:tcPr>
                <w:p w14:paraId="06D845B4">
                  <w:pPr>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eastAsia="zh-CN"/>
                    </w:rPr>
                    <w:t>总量控制要求</w:t>
                  </w:r>
                </w:p>
              </w:tc>
              <w:tc>
                <w:tcPr>
                  <w:tcW w:w="2293" w:type="pct"/>
                  <w:tcBorders>
                    <w:tl2br w:val="nil"/>
                    <w:tr2bl w:val="nil"/>
                  </w:tcBorders>
                  <w:vAlign w:val="center"/>
                </w:tcPr>
                <w:p w14:paraId="782203E8">
                  <w:pPr>
                    <w:ind w:firstLine="420" w:firstLineChars="20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污染物总量控制要求。项目主要污染物排放应满足我局确认的总量控制指标要求。</w:t>
                  </w:r>
                </w:p>
              </w:tc>
              <w:tc>
                <w:tcPr>
                  <w:tcW w:w="1789" w:type="pct"/>
                  <w:tcBorders>
                    <w:tl2br w:val="nil"/>
                    <w:tr2bl w:val="nil"/>
                  </w:tcBorders>
                  <w:vAlign w:val="center"/>
                </w:tcPr>
                <w:p w14:paraId="2653D11A">
                  <w:pPr>
                    <w:topLinePun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eastAsia="zh-CN"/>
                    </w:rPr>
                    <w:t>满足</w:t>
                  </w:r>
                </w:p>
              </w:tc>
              <w:tc>
                <w:tcPr>
                  <w:tcW w:w="483" w:type="pct"/>
                  <w:tcBorders>
                    <w:tl2br w:val="nil"/>
                    <w:tr2bl w:val="nil"/>
                  </w:tcBorders>
                  <w:vAlign w:val="center"/>
                </w:tcPr>
                <w:p w14:paraId="0A9759C4">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eastAsia="zh-CN"/>
                    </w:rPr>
                    <w:t>已落实</w:t>
                  </w:r>
                </w:p>
              </w:tc>
            </w:tr>
          </w:tbl>
          <w:p w14:paraId="7A85B849">
            <w:pPr>
              <w:spacing w:line="360" w:lineRule="auto"/>
              <w:ind w:firstLine="480" w:firstLineChars="200"/>
              <w:rPr>
                <w:color w:val="auto"/>
                <w:sz w:val="24"/>
              </w:rPr>
            </w:pPr>
          </w:p>
        </w:tc>
      </w:tr>
    </w:tbl>
    <w:p w14:paraId="1014DE61">
      <w:pPr>
        <w:bidi w:val="0"/>
        <w:rPr>
          <w:color w:val="auto"/>
        </w:rPr>
        <w:sectPr>
          <w:pgSz w:w="11907" w:h="16840"/>
          <w:pgMar w:top="1077" w:right="1247" w:bottom="1077" w:left="1247" w:header="851" w:footer="442" w:gutter="0"/>
          <w:pgBorders>
            <w:top w:val="none" w:sz="0" w:space="0"/>
            <w:left w:val="none" w:sz="0" w:space="0"/>
            <w:bottom w:val="none" w:sz="0" w:space="0"/>
            <w:right w:val="none" w:sz="0" w:space="0"/>
          </w:pgBorders>
          <w:cols w:space="720" w:num="1"/>
          <w:docGrid w:type="lines" w:linePitch="312" w:charSpace="0"/>
        </w:sectPr>
      </w:pPr>
      <w:bookmarkStart w:id="18" w:name="_Toc523906063"/>
    </w:p>
    <w:p w14:paraId="24830310">
      <w:pPr>
        <w:pStyle w:val="7"/>
        <w:rPr>
          <w:b w:val="0"/>
          <w:color w:val="auto"/>
          <w:szCs w:val="24"/>
        </w:rPr>
      </w:pPr>
      <w:r>
        <w:rPr>
          <w:color w:val="auto"/>
        </w:rPr>
        <w:t>表</w:t>
      </w:r>
      <w:r>
        <w:rPr>
          <w:rFonts w:hint="eastAsia"/>
          <w:color w:val="auto"/>
        </w:rPr>
        <w:t>九  验收</w:t>
      </w:r>
      <w:r>
        <w:rPr>
          <w:color w:val="auto"/>
        </w:rPr>
        <w:t>监测结论及建议</w:t>
      </w:r>
      <w:bookmarkEnd w:id="18"/>
    </w:p>
    <w:tbl>
      <w:tblPr>
        <w:tblStyle w:val="34"/>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8"/>
      </w:tblGrid>
      <w:tr w14:paraId="2F5D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87" w:type="dxa"/>
            <w:shd w:val="clear" w:color="auto" w:fill="auto"/>
          </w:tcPr>
          <w:p w14:paraId="0BED591B">
            <w:pPr>
              <w:keepNext w:val="0"/>
              <w:keepLines w:val="0"/>
              <w:pageBreakBefore w:val="0"/>
              <w:widowControl w:val="0"/>
              <w:kinsoku/>
              <w:wordWrap/>
              <w:overflowPunct/>
              <w:topLinePunct w:val="0"/>
              <w:autoSpaceDE/>
              <w:autoSpaceDN/>
              <w:bidi w:val="0"/>
              <w:spacing w:line="360" w:lineRule="auto"/>
              <w:textAlignment w:val="auto"/>
              <w:rPr>
                <w:b/>
                <w:bCs/>
                <w:color w:val="auto"/>
                <w:sz w:val="24"/>
                <w:szCs w:val="24"/>
              </w:rPr>
            </w:pPr>
            <w:r>
              <w:rPr>
                <w:rFonts w:hint="eastAsia"/>
                <w:b/>
                <w:bCs/>
                <w:color w:val="auto"/>
                <w:sz w:val="24"/>
                <w:szCs w:val="24"/>
              </w:rPr>
              <w:t>9.1 “三同时”执行情况</w:t>
            </w:r>
          </w:p>
          <w:p w14:paraId="364D6C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color w:val="auto"/>
                <w:sz w:val="24"/>
                <w:szCs w:val="24"/>
              </w:rPr>
              <w:t>项目实施前进行了环境影响评价，项目在实施过程中基本执行了国家建设项目环境保护“三同时”制度。</w:t>
            </w:r>
          </w:p>
          <w:p w14:paraId="77E1F447">
            <w:pPr>
              <w:adjustRightInd w:val="0"/>
              <w:snapToGrid w:val="0"/>
              <w:spacing w:line="360" w:lineRule="auto"/>
              <w:ind w:firstLine="480" w:firstLineChars="200"/>
              <w:rPr>
                <w:color w:val="auto"/>
                <w:sz w:val="24"/>
                <w:szCs w:val="24"/>
              </w:rPr>
            </w:pPr>
            <w:r>
              <w:rPr>
                <w:color w:val="auto"/>
                <w:sz w:val="24"/>
                <w:szCs w:val="24"/>
              </w:rPr>
              <w:t>（1）</w:t>
            </w:r>
            <w:r>
              <w:rPr>
                <w:rFonts w:hint="eastAsia"/>
                <w:color w:val="auto"/>
                <w:sz w:val="24"/>
                <w:szCs w:val="24"/>
                <w:lang w:eastAsia="zh-CN"/>
              </w:rPr>
              <w:t>新创环保技术服务有限公司《水联江西管道装备有限公司年产20万吨螺旋管50万涂塑项目环境影响报告表》</w:t>
            </w:r>
            <w:r>
              <w:rPr>
                <w:color w:val="auto"/>
                <w:sz w:val="24"/>
                <w:szCs w:val="24"/>
              </w:rPr>
              <w:t>。</w:t>
            </w:r>
          </w:p>
          <w:p w14:paraId="2DA56078">
            <w:pPr>
              <w:adjustRightInd w:val="0"/>
              <w:snapToGrid w:val="0"/>
              <w:spacing w:line="360" w:lineRule="auto"/>
              <w:ind w:firstLine="480" w:firstLineChars="200"/>
              <w:rPr>
                <w:color w:val="auto"/>
                <w:sz w:val="24"/>
                <w:szCs w:val="24"/>
              </w:rPr>
            </w:pPr>
            <w:r>
              <w:rPr>
                <w:color w:val="auto"/>
                <w:sz w:val="24"/>
                <w:szCs w:val="24"/>
              </w:rPr>
              <w:t>（2）</w:t>
            </w:r>
            <w:r>
              <w:rPr>
                <w:rFonts w:hint="eastAsia"/>
                <w:color w:val="auto"/>
                <w:sz w:val="24"/>
                <w:szCs w:val="24"/>
                <w:lang w:eastAsia="zh-CN"/>
              </w:rPr>
              <w:t>南昌市南昌生态环境局《关于水联江西管道装备有限公司年产20万吨螺旋管50万涂塑项目环境影响报告表的批复》（南环评字〔202</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18</w:t>
            </w:r>
            <w:r>
              <w:rPr>
                <w:rFonts w:hint="eastAsia"/>
                <w:color w:val="auto"/>
                <w:sz w:val="24"/>
                <w:szCs w:val="24"/>
                <w:lang w:eastAsia="zh-CN"/>
              </w:rPr>
              <w:t>号）</w:t>
            </w:r>
            <w:r>
              <w:rPr>
                <w:color w:val="auto"/>
                <w:sz w:val="24"/>
                <w:szCs w:val="24"/>
              </w:rPr>
              <w:t>。</w:t>
            </w:r>
          </w:p>
          <w:p w14:paraId="5DE95A2A">
            <w:pPr>
              <w:widowControl/>
              <w:spacing w:line="360" w:lineRule="auto"/>
              <w:rPr>
                <w:b/>
                <w:color w:val="auto"/>
                <w:kern w:val="0"/>
                <w:sz w:val="24"/>
                <w:szCs w:val="24"/>
              </w:rPr>
            </w:pPr>
            <w:r>
              <w:rPr>
                <w:rFonts w:hint="eastAsia"/>
                <w:b/>
                <w:color w:val="auto"/>
                <w:kern w:val="0"/>
                <w:sz w:val="24"/>
                <w:szCs w:val="24"/>
              </w:rPr>
              <w:t>9.</w:t>
            </w:r>
            <w:r>
              <w:rPr>
                <w:b/>
                <w:color w:val="auto"/>
                <w:kern w:val="0"/>
                <w:sz w:val="24"/>
                <w:szCs w:val="24"/>
              </w:rPr>
              <w:t>2</w:t>
            </w:r>
            <w:r>
              <w:rPr>
                <w:rFonts w:hint="eastAsia"/>
                <w:b/>
                <w:color w:val="auto"/>
                <w:kern w:val="0"/>
                <w:sz w:val="24"/>
                <w:szCs w:val="24"/>
              </w:rPr>
              <w:t xml:space="preserve"> 环保设施调试运行效果</w:t>
            </w:r>
          </w:p>
          <w:p w14:paraId="2A8C8BD6">
            <w:pPr>
              <w:adjustRightInd w:val="0"/>
              <w:snapToGrid w:val="0"/>
              <w:spacing w:line="360" w:lineRule="auto"/>
              <w:ind w:firstLine="480" w:firstLineChars="200"/>
              <w:rPr>
                <w:color w:val="auto"/>
                <w:sz w:val="24"/>
                <w:szCs w:val="24"/>
              </w:rPr>
            </w:pPr>
            <w:r>
              <w:rPr>
                <w:rFonts w:hint="eastAsia"/>
                <w:color w:val="auto"/>
                <w:sz w:val="24"/>
                <w:szCs w:val="24"/>
              </w:rPr>
              <w:t>20</w:t>
            </w:r>
            <w:r>
              <w:rPr>
                <w:rFonts w:hint="eastAsia"/>
                <w:color w:val="auto"/>
                <w:sz w:val="24"/>
                <w:szCs w:val="24"/>
                <w:lang w:val="en-US" w:eastAsia="zh-CN"/>
              </w:rPr>
              <w:t>26</w:t>
            </w:r>
            <w:r>
              <w:rPr>
                <w:rFonts w:hint="eastAsia"/>
                <w:color w:val="auto"/>
                <w:sz w:val="24"/>
                <w:szCs w:val="24"/>
              </w:rPr>
              <w:t>年</w:t>
            </w:r>
            <w:r>
              <w:rPr>
                <w:rFonts w:hint="eastAsia"/>
                <w:color w:val="auto"/>
                <w:sz w:val="24"/>
                <w:szCs w:val="24"/>
                <w:lang w:val="en-US" w:eastAsia="zh-CN"/>
              </w:rPr>
              <w:t>6</w:t>
            </w:r>
            <w:r>
              <w:rPr>
                <w:rFonts w:hint="eastAsia"/>
                <w:color w:val="auto"/>
                <w:sz w:val="24"/>
                <w:szCs w:val="24"/>
              </w:rPr>
              <w:t>月</w:t>
            </w:r>
            <w:r>
              <w:rPr>
                <w:rFonts w:hint="eastAsia"/>
                <w:color w:val="auto"/>
                <w:sz w:val="24"/>
                <w:szCs w:val="24"/>
                <w:lang w:val="en-US" w:eastAsia="zh-CN"/>
              </w:rPr>
              <w:t>11</w:t>
            </w:r>
            <w:r>
              <w:rPr>
                <w:rFonts w:hint="eastAsia"/>
                <w:color w:val="auto"/>
                <w:sz w:val="24"/>
                <w:szCs w:val="24"/>
              </w:rPr>
              <w:t>日~</w:t>
            </w:r>
            <w:r>
              <w:rPr>
                <w:rFonts w:hint="eastAsia"/>
                <w:color w:val="auto"/>
                <w:sz w:val="24"/>
                <w:szCs w:val="24"/>
                <w:lang w:val="en-US" w:eastAsia="zh-CN"/>
              </w:rPr>
              <w:t>12</w:t>
            </w:r>
            <w:r>
              <w:rPr>
                <w:rFonts w:hint="eastAsia"/>
                <w:color w:val="auto"/>
                <w:sz w:val="24"/>
                <w:szCs w:val="24"/>
              </w:rPr>
              <w:t>日，</w:t>
            </w:r>
            <w:r>
              <w:rPr>
                <w:rFonts w:hint="eastAsia"/>
                <w:color w:val="auto"/>
                <w:sz w:val="24"/>
                <w:szCs w:val="24"/>
                <w:lang w:eastAsia="zh-CN"/>
              </w:rPr>
              <w:t>江西宏德检测技术有限公司</w:t>
            </w:r>
            <w:r>
              <w:rPr>
                <w:rFonts w:hint="eastAsia"/>
                <w:color w:val="auto"/>
                <w:sz w:val="24"/>
                <w:szCs w:val="24"/>
              </w:rPr>
              <w:t>对</w:t>
            </w:r>
            <w:r>
              <w:rPr>
                <w:rFonts w:hint="eastAsia"/>
                <w:color w:val="auto"/>
                <w:sz w:val="24"/>
                <w:szCs w:val="24"/>
                <w:lang w:eastAsia="zh-CN"/>
              </w:rPr>
              <w:t>水联江西管道装备有限公司年产20万吨螺旋管50万涂塑项目（一期）</w:t>
            </w:r>
            <w:r>
              <w:rPr>
                <w:rFonts w:hint="eastAsia"/>
                <w:color w:val="auto"/>
                <w:sz w:val="24"/>
                <w:szCs w:val="24"/>
              </w:rPr>
              <w:t>进行了现场检查和验收监测。本次对项目污染源中废气、厂界噪声、废水进行了监测与检查，检查和监测结果表明：</w:t>
            </w:r>
          </w:p>
          <w:p w14:paraId="0F5A908B">
            <w:pPr>
              <w:adjustRightInd w:val="0"/>
              <w:snapToGrid w:val="0"/>
              <w:spacing w:line="360" w:lineRule="auto"/>
              <w:ind w:firstLine="480" w:firstLineChars="200"/>
              <w:rPr>
                <w:color w:val="auto"/>
                <w:sz w:val="24"/>
                <w:szCs w:val="24"/>
              </w:rPr>
            </w:pPr>
            <w:r>
              <w:rPr>
                <w:rFonts w:hint="eastAsia"/>
                <w:color w:val="auto"/>
                <w:sz w:val="24"/>
                <w:szCs w:val="24"/>
              </w:rPr>
              <w:t>1、建设单位基本按照环评报告表的要求落实环保措施，环保制度得到一定的执行，但还需进一步落实各项环保措施、完善环境保护管理制度和加强环保设施运行管理。</w:t>
            </w:r>
          </w:p>
          <w:p w14:paraId="1EF009FD">
            <w:pPr>
              <w:adjustRightInd w:val="0"/>
              <w:snapToGrid w:val="0"/>
              <w:spacing w:line="360" w:lineRule="auto"/>
              <w:ind w:firstLine="480" w:firstLineChars="200"/>
              <w:rPr>
                <w:color w:val="auto"/>
                <w:sz w:val="24"/>
                <w:szCs w:val="24"/>
              </w:rPr>
            </w:pPr>
            <w:r>
              <w:rPr>
                <w:rFonts w:hint="eastAsia"/>
                <w:color w:val="auto"/>
                <w:sz w:val="24"/>
                <w:szCs w:val="24"/>
              </w:rPr>
              <w:t>2</w:t>
            </w:r>
            <w:r>
              <w:rPr>
                <w:color w:val="auto"/>
                <w:sz w:val="24"/>
                <w:szCs w:val="24"/>
              </w:rPr>
              <w:t>、各类污染物排放均可达标。</w:t>
            </w:r>
          </w:p>
          <w:p w14:paraId="617334A6">
            <w:pPr>
              <w:adjustRightInd w:val="0"/>
              <w:snapToGrid w:val="0"/>
              <w:spacing w:line="360" w:lineRule="auto"/>
              <w:ind w:firstLine="480" w:firstLineChars="200"/>
              <w:rPr>
                <w:color w:val="auto"/>
                <w:sz w:val="24"/>
                <w:szCs w:val="24"/>
              </w:rPr>
            </w:pPr>
            <w:r>
              <w:rPr>
                <w:rFonts w:hint="eastAsia"/>
                <w:color w:val="auto"/>
                <w:sz w:val="24"/>
                <w:szCs w:val="24"/>
              </w:rPr>
              <w:t>（1）废水</w:t>
            </w:r>
          </w:p>
          <w:p w14:paraId="57A2A472">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本次验收监测结果表明，生活污水经化粪池预处理后，</w:t>
            </w:r>
            <w:r>
              <w:rPr>
                <w:rFonts w:hint="eastAsia"/>
                <w:color w:val="auto"/>
                <w:sz w:val="24"/>
                <w:szCs w:val="24"/>
                <w:lang w:eastAsia="zh-CN"/>
              </w:rPr>
              <w:t>p</w:t>
            </w:r>
            <w:r>
              <w:rPr>
                <w:rFonts w:hint="eastAsia"/>
                <w:color w:val="auto"/>
                <w:sz w:val="24"/>
                <w:szCs w:val="24"/>
                <w:lang w:val="en-US" w:eastAsia="zh-CN"/>
              </w:rPr>
              <w:t>H、</w:t>
            </w:r>
            <w:r>
              <w:rPr>
                <w:rFonts w:hint="eastAsia"/>
                <w:color w:val="auto"/>
                <w:sz w:val="24"/>
                <w:szCs w:val="24"/>
                <w:lang w:eastAsia="zh-CN"/>
              </w:rPr>
              <w:t>COD</w:t>
            </w:r>
            <w:r>
              <w:rPr>
                <w:rFonts w:hint="eastAsia"/>
                <w:color w:val="auto"/>
                <w:sz w:val="24"/>
                <w:szCs w:val="24"/>
                <w:lang w:val="en-US" w:eastAsia="zh-CN"/>
              </w:rPr>
              <w:t>cr、</w:t>
            </w:r>
            <w:r>
              <w:rPr>
                <w:rFonts w:hint="eastAsia"/>
                <w:color w:val="auto"/>
                <w:sz w:val="24"/>
                <w:szCs w:val="24"/>
                <w:lang w:eastAsia="zh-CN"/>
              </w:rPr>
              <w:t>BOD</w:t>
            </w:r>
            <w:r>
              <w:rPr>
                <w:rFonts w:hint="eastAsia"/>
                <w:color w:val="auto"/>
                <w:sz w:val="24"/>
                <w:szCs w:val="24"/>
                <w:vertAlign w:val="subscript"/>
                <w:lang w:eastAsia="zh-CN"/>
              </w:rPr>
              <w:t>5</w:t>
            </w:r>
            <w:r>
              <w:rPr>
                <w:rFonts w:hint="eastAsia"/>
                <w:color w:val="auto"/>
                <w:sz w:val="24"/>
                <w:szCs w:val="24"/>
                <w:vertAlign w:val="baseline"/>
                <w:lang w:eastAsia="zh-CN"/>
              </w:rPr>
              <w:t>、</w:t>
            </w:r>
            <w:r>
              <w:rPr>
                <w:rFonts w:hint="eastAsia"/>
                <w:color w:val="auto"/>
                <w:sz w:val="24"/>
                <w:szCs w:val="24"/>
                <w:vertAlign w:val="baseline"/>
                <w:lang w:val="en-US" w:eastAsia="zh-CN"/>
              </w:rPr>
              <w:t>SS、氨氮、TP可达到</w:t>
            </w:r>
            <w:r>
              <w:rPr>
                <w:rFonts w:hint="eastAsia"/>
                <w:color w:val="auto"/>
                <w:sz w:val="24"/>
                <w:szCs w:val="24"/>
                <w:lang w:eastAsia="zh-CN"/>
              </w:rPr>
              <w:t>武阳创业园污水处理厂接管标准，动植物油可达到《污水综合排放标准》（</w:t>
            </w:r>
            <w:r>
              <w:rPr>
                <w:rFonts w:hint="eastAsia"/>
                <w:color w:val="auto"/>
                <w:sz w:val="24"/>
                <w:szCs w:val="24"/>
                <w:lang w:val="en-US" w:eastAsia="zh-CN"/>
              </w:rPr>
              <w:t>GB8978-1996</w:t>
            </w:r>
            <w:r>
              <w:rPr>
                <w:rFonts w:hint="eastAsia"/>
                <w:color w:val="auto"/>
                <w:sz w:val="24"/>
                <w:szCs w:val="24"/>
                <w:lang w:eastAsia="zh-CN"/>
              </w:rPr>
              <w:t>）表</w:t>
            </w:r>
            <w:r>
              <w:rPr>
                <w:rFonts w:hint="eastAsia"/>
                <w:color w:val="auto"/>
                <w:sz w:val="24"/>
                <w:szCs w:val="24"/>
                <w:lang w:val="en-US" w:eastAsia="zh-CN"/>
              </w:rPr>
              <w:t>4中三级标准</w:t>
            </w:r>
            <w:r>
              <w:rPr>
                <w:rFonts w:hint="default" w:ascii="Times New Roman" w:hAnsi="Times New Roman" w:eastAsia="宋体" w:cs="Times New Roman"/>
                <w:color w:val="auto"/>
                <w:sz w:val="24"/>
                <w:szCs w:val="24"/>
                <w:lang w:val="en-US" w:eastAsia="zh-CN"/>
              </w:rPr>
              <w:t>后</w:t>
            </w:r>
            <w:r>
              <w:rPr>
                <w:rFonts w:hint="eastAsia"/>
                <w:color w:val="auto"/>
                <w:sz w:val="24"/>
                <w:szCs w:val="24"/>
                <w:lang w:eastAsia="zh-CN"/>
              </w:rPr>
              <w:t>排入武阳创业园污水处理厂处理达标</w:t>
            </w:r>
            <w:r>
              <w:rPr>
                <w:rFonts w:hint="eastAsia"/>
                <w:color w:val="auto"/>
                <w:sz w:val="24"/>
                <w:szCs w:val="24"/>
                <w:lang w:val="en-US" w:eastAsia="zh-CN"/>
              </w:rPr>
              <w:t>后排入清丰山溪。</w:t>
            </w:r>
          </w:p>
          <w:p w14:paraId="507F82E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rFonts w:hint="eastAsia"/>
                <w:color w:val="auto"/>
                <w:sz w:val="24"/>
                <w:szCs w:val="24"/>
              </w:rPr>
              <w:t>（2</w:t>
            </w:r>
            <w:r>
              <w:rPr>
                <w:color w:val="auto"/>
                <w:sz w:val="24"/>
                <w:szCs w:val="24"/>
              </w:rPr>
              <w:t>）废</w:t>
            </w:r>
            <w:r>
              <w:rPr>
                <w:rFonts w:hint="eastAsia"/>
                <w:color w:val="auto"/>
                <w:sz w:val="24"/>
                <w:szCs w:val="24"/>
              </w:rPr>
              <w:t>气</w:t>
            </w:r>
          </w:p>
          <w:p w14:paraId="705B286A">
            <w:pPr>
              <w:keepNext w:val="0"/>
              <w:keepLines w:val="0"/>
              <w:pageBreakBefore w:val="0"/>
              <w:widowControl/>
              <w:kinsoku/>
              <w:wordWrap/>
              <w:overflowPunct/>
              <w:topLinePunct w:val="0"/>
              <w:autoSpaceDE/>
              <w:autoSpaceDN/>
              <w:bidi w:val="0"/>
              <w:adjustRightInd w:val="0"/>
              <w:snapToGrid w:val="0"/>
              <w:spacing w:after="0" w:line="360" w:lineRule="auto"/>
              <w:ind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有组织废气：</w:t>
            </w:r>
            <w:r>
              <w:rPr>
                <w:rFonts w:hint="default" w:ascii="Times New Roman" w:hAnsi="Times New Roman" w:eastAsia="宋体" w:cs="Times New Roman"/>
                <w:color w:val="auto"/>
                <w:sz w:val="24"/>
                <w:szCs w:val="24"/>
              </w:rPr>
              <w:t>验收监测期间，排气筒</w:t>
            </w:r>
            <w:r>
              <w:rPr>
                <w:rFonts w:hint="eastAsia" w:cs="Times New Roman"/>
                <w:color w:val="auto"/>
                <w:sz w:val="24"/>
                <w:szCs w:val="24"/>
                <w:lang w:eastAsia="zh-CN"/>
              </w:rPr>
              <w:t>排放的</w:t>
            </w:r>
            <w:r>
              <w:rPr>
                <w:rFonts w:hint="default" w:ascii="Times New Roman" w:hAnsi="Times New Roman" w:eastAsia="宋体" w:cs="Times New Roman"/>
                <w:color w:val="auto"/>
                <w:sz w:val="24"/>
                <w:szCs w:val="24"/>
                <w:lang w:eastAsia="zh-CN"/>
              </w:rPr>
              <w:t>颗粒物</w:t>
            </w:r>
            <w:r>
              <w:rPr>
                <w:rFonts w:hint="eastAsia" w:eastAsia="宋体" w:cs="Times New Roman"/>
                <w:color w:val="auto"/>
                <w:sz w:val="24"/>
                <w:szCs w:val="24"/>
                <w:lang w:eastAsia="zh-CN"/>
              </w:rPr>
              <w:t>均</w:t>
            </w:r>
            <w:r>
              <w:rPr>
                <w:rFonts w:hint="default" w:ascii="Times New Roman" w:hAnsi="Times New Roman" w:eastAsia="宋体" w:cs="Times New Roman"/>
                <w:color w:val="auto"/>
                <w:sz w:val="24"/>
                <w:szCs w:val="24"/>
                <w:lang w:eastAsia="zh-CN"/>
              </w:rPr>
              <w:t>满足</w:t>
            </w:r>
            <w:r>
              <w:rPr>
                <w:rFonts w:hint="eastAsia"/>
                <w:color w:val="auto"/>
                <w:sz w:val="24"/>
                <w:szCs w:val="24"/>
              </w:rPr>
              <w:t>《</w:t>
            </w:r>
            <w:r>
              <w:rPr>
                <w:rFonts w:hint="eastAsia"/>
                <w:color w:val="auto"/>
                <w:sz w:val="24"/>
                <w:szCs w:val="24"/>
                <w:lang w:eastAsia="zh-CN"/>
              </w:rPr>
              <w:t>大气</w:t>
            </w:r>
            <w:r>
              <w:rPr>
                <w:rFonts w:hint="eastAsia"/>
                <w:color w:val="auto"/>
                <w:sz w:val="24"/>
                <w:szCs w:val="24"/>
              </w:rPr>
              <w:t>污染物</w:t>
            </w:r>
            <w:r>
              <w:rPr>
                <w:rFonts w:hint="eastAsia"/>
                <w:color w:val="auto"/>
                <w:sz w:val="24"/>
                <w:szCs w:val="24"/>
                <w:lang w:eastAsia="zh-CN"/>
              </w:rPr>
              <w:t>综合</w:t>
            </w:r>
            <w:r>
              <w:rPr>
                <w:rFonts w:hint="eastAsia"/>
                <w:color w:val="auto"/>
                <w:sz w:val="24"/>
                <w:szCs w:val="24"/>
              </w:rPr>
              <w:t>排放标准》（GB</w:t>
            </w:r>
            <w:r>
              <w:rPr>
                <w:rFonts w:hint="eastAsia"/>
                <w:color w:val="auto"/>
                <w:sz w:val="24"/>
                <w:szCs w:val="24"/>
                <w:lang w:val="en-US" w:eastAsia="zh-CN"/>
              </w:rPr>
              <w:t>16297-1996</w:t>
            </w:r>
            <w:r>
              <w:rPr>
                <w:rFonts w:hint="eastAsia"/>
                <w:color w:val="auto"/>
                <w:sz w:val="24"/>
                <w:szCs w:val="24"/>
              </w:rPr>
              <w:t>）表</w:t>
            </w:r>
            <w:r>
              <w:rPr>
                <w:rFonts w:hint="eastAsia"/>
                <w:color w:val="auto"/>
                <w:sz w:val="24"/>
                <w:szCs w:val="24"/>
                <w:lang w:val="en-US" w:eastAsia="zh-CN"/>
              </w:rPr>
              <w:t>2</w:t>
            </w:r>
            <w:r>
              <w:rPr>
                <w:rFonts w:hint="eastAsia"/>
                <w:color w:val="auto"/>
                <w:sz w:val="24"/>
                <w:szCs w:val="24"/>
              </w:rPr>
              <w:t>中</w:t>
            </w:r>
            <w:r>
              <w:rPr>
                <w:rFonts w:hint="eastAsia"/>
                <w:color w:val="auto"/>
                <w:sz w:val="24"/>
                <w:szCs w:val="24"/>
                <w:lang w:eastAsia="zh-CN"/>
              </w:rPr>
              <w:t>二级标准</w:t>
            </w:r>
            <w:r>
              <w:rPr>
                <w:rFonts w:hint="default" w:ascii="Times New Roman" w:hAnsi="Times New Roman" w:eastAsia="宋体" w:cs="Times New Roman"/>
                <w:color w:val="auto"/>
                <w:sz w:val="24"/>
                <w:szCs w:val="24"/>
                <w:lang w:val="en-US" w:eastAsia="zh-CN"/>
              </w:rPr>
              <w:t>；</w:t>
            </w:r>
            <w:r>
              <w:rPr>
                <w:rFonts w:hint="eastAsia" w:eastAsia="宋体" w:cs="Times New Roman"/>
                <w:color w:val="auto"/>
                <w:sz w:val="24"/>
                <w:szCs w:val="24"/>
                <w:lang w:eastAsia="zh-CN"/>
              </w:rPr>
              <w:t>非甲烷总烃排放浓度</w:t>
            </w:r>
            <w:r>
              <w:rPr>
                <w:rFonts w:hint="eastAsia" w:cs="Times New Roman"/>
                <w:color w:val="auto"/>
                <w:sz w:val="24"/>
                <w:szCs w:val="24"/>
                <w:lang w:eastAsia="zh-CN"/>
              </w:rPr>
              <w:t>满足</w:t>
            </w:r>
            <w:r>
              <w:rPr>
                <w:rFonts w:hint="eastAsia"/>
                <w:color w:val="auto"/>
                <w:sz w:val="24"/>
                <w:szCs w:val="24"/>
              </w:rPr>
              <w:t>《挥发性有机物综合排放控制标准（试行）》（DB36/2186-2025）</w:t>
            </w:r>
            <w:r>
              <w:rPr>
                <w:rFonts w:hint="eastAsia"/>
                <w:color w:val="auto"/>
                <w:sz w:val="24"/>
                <w:szCs w:val="24"/>
                <w:lang w:eastAsia="zh-CN"/>
              </w:rPr>
              <w:t>表</w:t>
            </w:r>
            <w:r>
              <w:rPr>
                <w:rFonts w:hint="eastAsia"/>
                <w:color w:val="auto"/>
                <w:sz w:val="24"/>
                <w:szCs w:val="24"/>
                <w:lang w:val="en-US" w:eastAsia="zh-CN"/>
              </w:rPr>
              <w:t>1限值要求。</w:t>
            </w:r>
          </w:p>
          <w:p w14:paraId="208B94F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szCs w:val="24"/>
                <w:lang w:eastAsia="zh-CN"/>
              </w:rPr>
            </w:pPr>
            <w:r>
              <w:rPr>
                <w:rFonts w:hint="eastAsia"/>
                <w:color w:val="auto"/>
                <w:sz w:val="24"/>
                <w:szCs w:val="24"/>
                <w:lang w:val="en-US" w:eastAsia="zh-CN"/>
              </w:rPr>
              <w:t>无组织废气：</w:t>
            </w:r>
            <w:r>
              <w:rPr>
                <w:rFonts w:hint="eastAsia"/>
                <w:color w:val="auto"/>
                <w:sz w:val="24"/>
                <w:szCs w:val="24"/>
                <w:lang w:eastAsia="zh-CN"/>
              </w:rPr>
              <w:t>未收集的颗粒物、非甲烷总烃通过车间通风无组织排放，厂界</w:t>
            </w:r>
            <w:r>
              <w:rPr>
                <w:rFonts w:hint="default" w:ascii="Times New Roman" w:hAnsi="Times New Roman" w:eastAsia="宋体" w:cs="Times New Roman"/>
                <w:color w:val="auto"/>
                <w:sz w:val="24"/>
                <w:szCs w:val="24"/>
              </w:rPr>
              <w:t>无组织废气</w:t>
            </w:r>
            <w:r>
              <w:rPr>
                <w:rFonts w:hint="default" w:ascii="Times New Roman" w:hAnsi="Times New Roman" w:eastAsia="宋体" w:cs="Times New Roman"/>
                <w:color w:val="auto"/>
                <w:sz w:val="24"/>
                <w:szCs w:val="24"/>
                <w:lang w:eastAsia="zh-CN"/>
              </w:rPr>
              <w:t>颗粒物</w:t>
            </w:r>
            <w:r>
              <w:rPr>
                <w:rFonts w:hint="eastAsia" w:cs="Times New Roman"/>
                <w:color w:val="auto"/>
                <w:sz w:val="24"/>
                <w:szCs w:val="24"/>
                <w:lang w:eastAsia="zh-CN"/>
              </w:rPr>
              <w:t>排放浓度均</w:t>
            </w:r>
            <w:r>
              <w:rPr>
                <w:rFonts w:hint="default" w:ascii="Times New Roman" w:hAnsi="Times New Roman" w:eastAsia="宋体" w:cs="Times New Roman"/>
                <w:color w:val="auto"/>
                <w:sz w:val="24"/>
                <w:szCs w:val="24"/>
                <w:lang w:eastAsia="zh-CN"/>
              </w:rPr>
              <w:t>满足</w:t>
            </w:r>
            <w:r>
              <w:rPr>
                <w:rFonts w:hint="eastAsia"/>
                <w:color w:val="auto"/>
                <w:sz w:val="24"/>
                <w:szCs w:val="24"/>
              </w:rPr>
              <w:t>《</w:t>
            </w:r>
            <w:r>
              <w:rPr>
                <w:rFonts w:hint="eastAsia"/>
                <w:color w:val="auto"/>
                <w:sz w:val="24"/>
                <w:szCs w:val="24"/>
                <w:lang w:eastAsia="zh-CN"/>
              </w:rPr>
              <w:t>大气</w:t>
            </w:r>
            <w:r>
              <w:rPr>
                <w:rFonts w:hint="eastAsia"/>
                <w:color w:val="auto"/>
                <w:sz w:val="24"/>
                <w:szCs w:val="24"/>
              </w:rPr>
              <w:t>污染物</w:t>
            </w:r>
            <w:r>
              <w:rPr>
                <w:rFonts w:hint="eastAsia"/>
                <w:color w:val="auto"/>
                <w:sz w:val="24"/>
                <w:szCs w:val="24"/>
                <w:lang w:eastAsia="zh-CN"/>
              </w:rPr>
              <w:t>综合</w:t>
            </w:r>
            <w:r>
              <w:rPr>
                <w:rFonts w:hint="eastAsia"/>
                <w:color w:val="auto"/>
                <w:sz w:val="24"/>
                <w:szCs w:val="24"/>
              </w:rPr>
              <w:t>排放标准》（GB</w:t>
            </w:r>
            <w:r>
              <w:rPr>
                <w:rFonts w:hint="eastAsia"/>
                <w:color w:val="auto"/>
                <w:sz w:val="24"/>
                <w:szCs w:val="24"/>
                <w:lang w:val="en-US" w:eastAsia="zh-CN"/>
              </w:rPr>
              <w:t>16297-1996</w:t>
            </w:r>
            <w:r>
              <w:rPr>
                <w:rFonts w:hint="eastAsia"/>
                <w:color w:val="auto"/>
                <w:sz w:val="24"/>
                <w:szCs w:val="24"/>
              </w:rPr>
              <w:t>）表</w:t>
            </w:r>
            <w:r>
              <w:rPr>
                <w:rFonts w:hint="eastAsia"/>
                <w:color w:val="auto"/>
                <w:sz w:val="24"/>
                <w:szCs w:val="24"/>
                <w:lang w:val="en-US" w:eastAsia="zh-CN"/>
              </w:rPr>
              <w:t>2</w:t>
            </w:r>
            <w:r>
              <w:rPr>
                <w:rFonts w:hint="eastAsia"/>
                <w:color w:val="auto"/>
                <w:sz w:val="24"/>
                <w:szCs w:val="24"/>
              </w:rPr>
              <w:t>中</w:t>
            </w:r>
            <w:r>
              <w:rPr>
                <w:rFonts w:hint="eastAsia"/>
                <w:color w:val="auto"/>
                <w:sz w:val="24"/>
                <w:szCs w:val="24"/>
                <w:lang w:eastAsia="zh-CN"/>
              </w:rPr>
              <w:t>无组织排放监控浓度限值要求</w:t>
            </w:r>
            <w:r>
              <w:rPr>
                <w:rFonts w:hint="eastAsia" w:cs="Times New Roman"/>
                <w:color w:val="auto"/>
                <w:sz w:val="24"/>
                <w:szCs w:val="24"/>
                <w:lang w:eastAsia="zh-CN"/>
              </w:rPr>
              <w:t>；</w:t>
            </w:r>
            <w:r>
              <w:rPr>
                <w:rFonts w:hint="eastAsia"/>
                <w:color w:val="auto"/>
                <w:sz w:val="24"/>
                <w:szCs w:val="24"/>
              </w:rPr>
              <w:t>非甲烷总烃</w:t>
            </w:r>
            <w:r>
              <w:rPr>
                <w:color w:val="auto"/>
                <w:sz w:val="24"/>
                <w:szCs w:val="24"/>
              </w:rPr>
              <w:t>排放浓度均满足</w:t>
            </w:r>
            <w:r>
              <w:rPr>
                <w:rFonts w:hint="eastAsia"/>
                <w:color w:val="auto"/>
                <w:sz w:val="24"/>
                <w:szCs w:val="24"/>
              </w:rPr>
              <w:t>《挥发性有机物综合排放控制标准（试行）》（DB36/2186-2025）</w:t>
            </w:r>
            <w:r>
              <w:rPr>
                <w:rFonts w:hint="eastAsia"/>
                <w:color w:val="auto"/>
                <w:sz w:val="24"/>
                <w:szCs w:val="24"/>
                <w:lang w:val="en-US" w:eastAsia="zh-CN"/>
              </w:rPr>
              <w:t>表2和表3排放限值。</w:t>
            </w:r>
          </w:p>
          <w:p w14:paraId="05E0501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rFonts w:hint="eastAsia"/>
                <w:color w:val="auto"/>
                <w:sz w:val="24"/>
                <w:szCs w:val="24"/>
              </w:rPr>
              <w:t>（3）厂界</w:t>
            </w:r>
            <w:r>
              <w:rPr>
                <w:color w:val="auto"/>
                <w:sz w:val="24"/>
                <w:szCs w:val="24"/>
              </w:rPr>
              <w:t>噪声</w:t>
            </w:r>
          </w:p>
          <w:p w14:paraId="00095ECF">
            <w:pPr>
              <w:adjustRightInd w:val="0"/>
              <w:snapToGrid w:val="0"/>
              <w:spacing w:line="360" w:lineRule="auto"/>
              <w:ind w:firstLine="480" w:firstLineChars="200"/>
              <w:rPr>
                <w:rFonts w:hint="default" w:ascii="Times New Roman" w:hAnsi="Times New Roman" w:eastAsia="宋体" w:cs="Times New Roman"/>
                <w:b w:val="0"/>
                <w:bCs w:val="0"/>
                <w:color w:val="auto"/>
                <w:sz w:val="24"/>
                <w:szCs w:val="24"/>
                <w:lang w:eastAsia="zh-CN"/>
              </w:rPr>
            </w:pPr>
            <w:r>
              <w:rPr>
                <w:color w:val="auto"/>
                <w:sz w:val="24"/>
                <w:szCs w:val="24"/>
                <w:highlight w:val="none"/>
              </w:rPr>
              <w:t>本次验收监测结果表明，</w:t>
            </w:r>
            <w:r>
              <w:rPr>
                <w:rFonts w:hint="eastAsia" w:ascii="Times New Roman" w:hAnsi="Times New Roman" w:cs="Times New Roman"/>
                <w:color w:val="auto"/>
                <w:kern w:val="0"/>
                <w:sz w:val="24"/>
                <w:highlight w:val="none"/>
                <w:lang w:val="en-US" w:eastAsia="zh-CN"/>
              </w:rPr>
              <w:t>运营期</w:t>
            </w:r>
            <w:r>
              <w:rPr>
                <w:rFonts w:hint="eastAsia" w:cs="Times New Roman"/>
                <w:color w:val="auto"/>
                <w:kern w:val="0"/>
                <w:sz w:val="24"/>
                <w:highlight w:val="none"/>
                <w:lang w:val="en-US" w:eastAsia="zh-CN"/>
              </w:rPr>
              <w:t>厂界</w:t>
            </w:r>
            <w:r>
              <w:rPr>
                <w:rFonts w:hint="eastAsia" w:ascii="Times New Roman" w:hAnsi="Times New Roman" w:cs="Times New Roman"/>
                <w:color w:val="auto"/>
                <w:kern w:val="0"/>
                <w:sz w:val="24"/>
                <w:highlight w:val="none"/>
              </w:rPr>
              <w:t>噪声</w:t>
            </w:r>
            <w:r>
              <w:rPr>
                <w:rFonts w:hint="eastAsia" w:ascii="Times New Roman" w:hAnsi="Times New Roman" w:cs="Times New Roman"/>
                <w:color w:val="auto"/>
                <w:kern w:val="0"/>
                <w:sz w:val="24"/>
                <w:highlight w:val="none"/>
                <w:lang w:eastAsia="zh-CN"/>
              </w:rPr>
              <w:t>满足</w:t>
            </w:r>
            <w:r>
              <w:rPr>
                <w:rFonts w:hint="eastAsia" w:ascii="Times New Roman" w:hAnsi="Times New Roman" w:cs="Times New Roman"/>
                <w:color w:val="auto"/>
                <w:kern w:val="0"/>
                <w:sz w:val="24"/>
                <w:highlight w:val="none"/>
              </w:rPr>
              <w:t>《工业企业厂界环境噪声排放标准》（GB12348-2008）</w:t>
            </w:r>
            <w:r>
              <w:rPr>
                <w:rFonts w:hint="eastAsia" w:ascii="Times New Roman" w:hAnsi="Times New Roman" w:cs="Times New Roman"/>
                <w:color w:val="auto"/>
                <w:kern w:val="0"/>
                <w:sz w:val="24"/>
                <w:highlight w:val="none"/>
                <w:lang w:val="en-US" w:eastAsia="zh-CN"/>
              </w:rPr>
              <w:t>中</w:t>
            </w:r>
            <w:r>
              <w:rPr>
                <w:rFonts w:hint="eastAsia" w:cs="Times New Roman"/>
                <w:color w:val="auto"/>
                <w:kern w:val="0"/>
                <w:sz w:val="24"/>
                <w:highlight w:val="none"/>
                <w:lang w:val="en-US" w:eastAsia="zh-CN"/>
              </w:rPr>
              <w:t>3</w:t>
            </w:r>
            <w:r>
              <w:rPr>
                <w:rFonts w:hint="eastAsia" w:ascii="Times New Roman" w:hAnsi="Times New Roman" w:cs="Times New Roman"/>
                <w:color w:val="auto"/>
                <w:kern w:val="0"/>
                <w:sz w:val="24"/>
                <w:highlight w:val="none"/>
              </w:rPr>
              <w:t>类标准</w:t>
            </w:r>
            <w:r>
              <w:rPr>
                <w:rFonts w:hint="default" w:ascii="Times New Roman" w:hAnsi="Times New Roman" w:eastAsia="宋体" w:cs="Times New Roman"/>
                <w:b w:val="0"/>
                <w:bCs w:val="0"/>
                <w:color w:val="auto"/>
                <w:sz w:val="24"/>
                <w:szCs w:val="24"/>
                <w:lang w:eastAsia="zh-CN"/>
              </w:rPr>
              <w:t>。</w:t>
            </w:r>
          </w:p>
          <w:p w14:paraId="2E4B465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b/>
                <w:color w:val="auto"/>
                <w:kern w:val="0"/>
                <w:sz w:val="24"/>
                <w:szCs w:val="24"/>
              </w:rPr>
            </w:pPr>
            <w:r>
              <w:rPr>
                <w:rFonts w:hint="eastAsia"/>
                <w:b/>
                <w:color w:val="auto"/>
                <w:kern w:val="0"/>
                <w:sz w:val="24"/>
                <w:szCs w:val="24"/>
              </w:rPr>
              <w:t>9.</w:t>
            </w:r>
            <w:r>
              <w:rPr>
                <w:b/>
                <w:color w:val="auto"/>
                <w:kern w:val="0"/>
                <w:sz w:val="24"/>
                <w:szCs w:val="24"/>
              </w:rPr>
              <w:t>3</w:t>
            </w:r>
            <w:r>
              <w:rPr>
                <w:rFonts w:hint="eastAsia"/>
                <w:b/>
                <w:color w:val="auto"/>
                <w:kern w:val="0"/>
                <w:sz w:val="24"/>
                <w:szCs w:val="24"/>
              </w:rPr>
              <w:t xml:space="preserve"> 环保标识牌管理</w:t>
            </w:r>
          </w:p>
          <w:p w14:paraId="0F5EDBED">
            <w:pPr>
              <w:adjustRightInd w:val="0"/>
              <w:snapToGrid w:val="0"/>
              <w:spacing w:line="360" w:lineRule="auto"/>
              <w:ind w:firstLine="480" w:firstLineChars="200"/>
              <w:rPr>
                <w:color w:val="auto"/>
                <w:sz w:val="24"/>
                <w:szCs w:val="24"/>
              </w:rPr>
            </w:pPr>
            <w:r>
              <w:rPr>
                <w:color w:val="auto"/>
                <w:sz w:val="24"/>
                <w:szCs w:val="24"/>
              </w:rPr>
              <w:t>项目</w:t>
            </w:r>
            <w:r>
              <w:rPr>
                <w:rFonts w:hint="eastAsia"/>
                <w:color w:val="auto"/>
                <w:sz w:val="24"/>
                <w:szCs w:val="24"/>
              </w:rPr>
              <w:t>建设</w:t>
            </w:r>
            <w:r>
              <w:rPr>
                <w:color w:val="auto"/>
                <w:sz w:val="24"/>
                <w:szCs w:val="24"/>
              </w:rPr>
              <w:t>前进行了环境影响评价，项目在</w:t>
            </w:r>
            <w:r>
              <w:rPr>
                <w:rFonts w:hint="eastAsia"/>
                <w:color w:val="auto"/>
                <w:sz w:val="24"/>
                <w:szCs w:val="24"/>
              </w:rPr>
              <w:t>运营期间按照</w:t>
            </w:r>
            <w:r>
              <w:rPr>
                <w:color w:val="auto"/>
                <w:sz w:val="24"/>
                <w:szCs w:val="24"/>
              </w:rPr>
              <w:t>国家</w:t>
            </w:r>
            <w:r>
              <w:rPr>
                <w:rFonts w:hint="eastAsia"/>
                <w:color w:val="auto"/>
                <w:sz w:val="24"/>
                <w:szCs w:val="24"/>
              </w:rPr>
              <w:t>环保部门</w:t>
            </w:r>
            <w:r>
              <w:rPr>
                <w:color w:val="auto"/>
                <w:sz w:val="24"/>
                <w:szCs w:val="24"/>
              </w:rPr>
              <w:t>要求，对污染物排放和存放点均设置了环保标识牌。</w:t>
            </w:r>
          </w:p>
          <w:p w14:paraId="463C670E">
            <w:pPr>
              <w:pStyle w:val="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2" w:firstLineChars="20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表9-1 项目污染物排放口环保标识牌管理</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536"/>
              <w:gridCol w:w="4596"/>
            </w:tblGrid>
            <w:tr w14:paraId="5E3102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14CDF414">
                  <w:pPr>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drawing>
                      <wp:inline distT="0" distB="0" distL="114300" distR="114300">
                        <wp:extent cx="2729865" cy="2046605"/>
                        <wp:effectExtent l="0" t="0" r="13335" b="10795"/>
                        <wp:docPr id="3" name="图片 3" descr="40ec0080f451060fee8329056220dd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ec0080f451060fee8329056220dd5d"/>
                                <pic:cNvPicPr>
                                  <a:picLocks noChangeAspect="1"/>
                                </pic:cNvPicPr>
                              </pic:nvPicPr>
                              <pic:blipFill>
                                <a:blip r:embed="rId16"/>
                                <a:stretch>
                                  <a:fillRect/>
                                </a:stretch>
                              </pic:blipFill>
                              <pic:spPr>
                                <a:xfrm>
                                  <a:off x="0" y="0"/>
                                  <a:ext cx="2729865" cy="2046605"/>
                                </a:xfrm>
                                <a:prstGeom prst="rect">
                                  <a:avLst/>
                                </a:prstGeom>
                              </pic:spPr>
                            </pic:pic>
                          </a:graphicData>
                        </a:graphic>
                      </wp:inline>
                    </w:drawing>
                  </w:r>
                </w:p>
              </w:tc>
              <w:tc>
                <w:tcPr>
                  <w:tcW w:w="2500" w:type="pct"/>
                  <w:vAlign w:val="center"/>
                </w:tcPr>
                <w:p w14:paraId="5A61F8FE">
                  <w:pPr>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drawing>
                      <wp:inline distT="0" distB="0" distL="114300" distR="114300">
                        <wp:extent cx="2775585" cy="2929255"/>
                        <wp:effectExtent l="0" t="0" r="5715" b="4445"/>
                        <wp:docPr id="2" name="图片 2" descr="1fe4102383a13906c219e51bd78fe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fe4102383a13906c219e51bd78fe381"/>
                                <pic:cNvPicPr>
                                  <a:picLocks noChangeAspect="1"/>
                                </pic:cNvPicPr>
                              </pic:nvPicPr>
                              <pic:blipFill>
                                <a:blip r:embed="rId17"/>
                                <a:srcRect r="-1251" b="19885"/>
                                <a:stretch>
                                  <a:fillRect/>
                                </a:stretch>
                              </pic:blipFill>
                              <pic:spPr>
                                <a:xfrm>
                                  <a:off x="0" y="0"/>
                                  <a:ext cx="2775585" cy="2929255"/>
                                </a:xfrm>
                                <a:prstGeom prst="rect">
                                  <a:avLst/>
                                </a:prstGeom>
                              </pic:spPr>
                            </pic:pic>
                          </a:graphicData>
                        </a:graphic>
                      </wp:inline>
                    </w:drawing>
                  </w:r>
                </w:p>
              </w:tc>
            </w:tr>
            <w:tr w14:paraId="1D56FC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69D11BD8">
                  <w:pPr>
                    <w:jc w:val="center"/>
                    <w:rPr>
                      <w:rFonts w:hint="eastAsia" w:ascii="Times New Roman" w:hAnsi="Times New Roman" w:eastAsia="宋体" w:cs="Times New Roman"/>
                      <w:color w:val="auto"/>
                      <w:sz w:val="21"/>
                      <w:szCs w:val="21"/>
                      <w:lang w:eastAsia="zh-CN"/>
                    </w:rPr>
                  </w:pPr>
                  <w:r>
                    <w:rPr>
                      <w:rFonts w:ascii="Times New Roman" w:hAnsi="Times New Roman" w:cs="Times New Roman"/>
                      <w:color w:val="auto"/>
                      <w:kern w:val="0"/>
                      <w:sz w:val="21"/>
                      <w:szCs w:val="21"/>
                    </w:rPr>
                    <w:t>废水排放口</w:t>
                  </w:r>
                </w:p>
              </w:tc>
              <w:tc>
                <w:tcPr>
                  <w:tcW w:w="2500" w:type="pct"/>
                  <w:vAlign w:val="center"/>
                </w:tcPr>
                <w:p w14:paraId="5E47CF00">
                  <w:pPr>
                    <w:jc w:val="center"/>
                    <w:rPr>
                      <w:rFonts w:hint="eastAsia" w:ascii="Times New Roman" w:hAnsi="Times New Roman" w:eastAsia="宋体" w:cs="Times New Roman"/>
                      <w:color w:val="auto"/>
                      <w:sz w:val="21"/>
                      <w:szCs w:val="21"/>
                      <w:lang w:eastAsia="zh-CN"/>
                    </w:rPr>
                  </w:pPr>
                  <w:r>
                    <w:rPr>
                      <w:rFonts w:hint="eastAsia" w:cs="Times New Roman"/>
                      <w:color w:val="auto"/>
                      <w:kern w:val="0"/>
                      <w:sz w:val="21"/>
                      <w:szCs w:val="21"/>
                      <w:lang w:val="en-US" w:eastAsia="zh-CN"/>
                    </w:rPr>
                    <w:t>DA001</w:t>
                  </w:r>
                  <w:r>
                    <w:rPr>
                      <w:rFonts w:ascii="Times New Roman" w:hAnsi="Times New Roman" w:cs="Times New Roman"/>
                      <w:color w:val="auto"/>
                      <w:kern w:val="0"/>
                      <w:sz w:val="21"/>
                      <w:szCs w:val="21"/>
                    </w:rPr>
                    <w:t>废气排放口</w:t>
                  </w:r>
                </w:p>
              </w:tc>
            </w:tr>
            <w:tr w14:paraId="434445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47CE8B70">
                  <w:pPr>
                    <w:jc w:val="center"/>
                    <w:rPr>
                      <w:rFonts w:ascii="Times New Roman" w:hAnsi="Times New Roman" w:cs="Times New Roman"/>
                      <w:color w:val="auto"/>
                      <w:kern w:val="0"/>
                      <w:sz w:val="21"/>
                      <w:szCs w:val="21"/>
                    </w:rPr>
                  </w:pPr>
                  <w:r>
                    <w:rPr>
                      <w:rFonts w:hint="eastAsia" w:ascii="Times New Roman" w:hAnsi="Times New Roman" w:eastAsia="宋体" w:cs="Times New Roman"/>
                      <w:color w:val="auto"/>
                      <w:kern w:val="0"/>
                      <w:sz w:val="21"/>
                      <w:szCs w:val="21"/>
                      <w:lang w:eastAsia="zh-CN"/>
                    </w:rPr>
                    <w:drawing>
                      <wp:inline distT="0" distB="0" distL="114300" distR="114300">
                        <wp:extent cx="2729865" cy="2046605"/>
                        <wp:effectExtent l="0" t="0" r="13335" b="10795"/>
                        <wp:docPr id="6" name="图片 6" descr="f64c71064224476d86a08c7bbfd3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64c71064224476d86a08c7bbfd31811"/>
                                <pic:cNvPicPr>
                                  <a:picLocks noChangeAspect="1"/>
                                </pic:cNvPicPr>
                              </pic:nvPicPr>
                              <pic:blipFill>
                                <a:blip r:embed="rId18"/>
                                <a:stretch>
                                  <a:fillRect/>
                                </a:stretch>
                              </pic:blipFill>
                              <pic:spPr>
                                <a:xfrm>
                                  <a:off x="0" y="0"/>
                                  <a:ext cx="2729865" cy="2046605"/>
                                </a:xfrm>
                                <a:prstGeom prst="rect">
                                  <a:avLst/>
                                </a:prstGeom>
                              </pic:spPr>
                            </pic:pic>
                          </a:graphicData>
                        </a:graphic>
                      </wp:inline>
                    </w:drawing>
                  </w:r>
                </w:p>
              </w:tc>
              <w:tc>
                <w:tcPr>
                  <w:tcW w:w="2500" w:type="pct"/>
                  <w:vAlign w:val="center"/>
                </w:tcPr>
                <w:p w14:paraId="4F4419D0">
                  <w:pPr>
                    <w:jc w:val="center"/>
                    <w:rPr>
                      <w:rFonts w:hint="eastAsia" w:cs="Times New Roman"/>
                      <w:color w:val="auto"/>
                      <w:kern w:val="0"/>
                      <w:sz w:val="21"/>
                      <w:szCs w:val="21"/>
                      <w:lang w:val="en-US" w:eastAsia="zh-CN"/>
                    </w:rPr>
                  </w:pPr>
                  <w:r>
                    <w:rPr>
                      <w:rFonts w:hint="eastAsia" w:cs="Times New Roman"/>
                      <w:color w:val="auto"/>
                      <w:kern w:val="0"/>
                      <w:sz w:val="21"/>
                      <w:szCs w:val="21"/>
                      <w:lang w:val="en-US" w:eastAsia="zh-CN"/>
                    </w:rPr>
                    <w:drawing>
                      <wp:inline distT="0" distB="0" distL="114300" distR="114300">
                        <wp:extent cx="2729865" cy="2046605"/>
                        <wp:effectExtent l="0" t="0" r="13335" b="10795"/>
                        <wp:docPr id="5" name="图片 5" descr="92c478953815a37bb15ba5321ebcd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2c478953815a37bb15ba5321ebcd852"/>
                                <pic:cNvPicPr>
                                  <a:picLocks noChangeAspect="1"/>
                                </pic:cNvPicPr>
                              </pic:nvPicPr>
                              <pic:blipFill>
                                <a:blip r:embed="rId19"/>
                                <a:stretch>
                                  <a:fillRect/>
                                </a:stretch>
                              </pic:blipFill>
                              <pic:spPr>
                                <a:xfrm>
                                  <a:off x="0" y="0"/>
                                  <a:ext cx="2729865" cy="2046605"/>
                                </a:xfrm>
                                <a:prstGeom prst="rect">
                                  <a:avLst/>
                                </a:prstGeom>
                              </pic:spPr>
                            </pic:pic>
                          </a:graphicData>
                        </a:graphic>
                      </wp:inline>
                    </w:drawing>
                  </w:r>
                </w:p>
              </w:tc>
            </w:tr>
            <w:tr w14:paraId="061A80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128F5534">
                  <w:pPr>
                    <w:jc w:val="center"/>
                    <w:rPr>
                      <w:rFonts w:ascii="Times New Roman" w:hAnsi="Times New Roman" w:cs="Times New Roman"/>
                      <w:color w:val="auto"/>
                      <w:kern w:val="0"/>
                      <w:sz w:val="21"/>
                      <w:szCs w:val="21"/>
                    </w:rPr>
                  </w:pPr>
                  <w:r>
                    <w:rPr>
                      <w:rFonts w:hint="eastAsia" w:cs="Times New Roman"/>
                      <w:color w:val="auto"/>
                      <w:kern w:val="0"/>
                      <w:sz w:val="21"/>
                      <w:szCs w:val="21"/>
                      <w:lang w:val="en-US" w:eastAsia="zh-CN"/>
                    </w:rPr>
                    <w:t>DA002</w:t>
                  </w:r>
                  <w:r>
                    <w:rPr>
                      <w:rFonts w:ascii="Times New Roman" w:hAnsi="Times New Roman" w:cs="Times New Roman"/>
                      <w:color w:val="auto"/>
                      <w:kern w:val="0"/>
                      <w:sz w:val="21"/>
                      <w:szCs w:val="21"/>
                    </w:rPr>
                    <w:t>废气排放口</w:t>
                  </w:r>
                </w:p>
              </w:tc>
              <w:tc>
                <w:tcPr>
                  <w:tcW w:w="2500" w:type="pct"/>
                  <w:vAlign w:val="center"/>
                </w:tcPr>
                <w:p w14:paraId="5D0EB16A">
                  <w:pPr>
                    <w:jc w:val="center"/>
                    <w:rPr>
                      <w:rFonts w:hint="eastAsia" w:cs="Times New Roman"/>
                      <w:color w:val="auto"/>
                      <w:kern w:val="0"/>
                      <w:sz w:val="21"/>
                      <w:szCs w:val="21"/>
                      <w:lang w:val="en-US" w:eastAsia="zh-CN"/>
                    </w:rPr>
                  </w:pPr>
                  <w:r>
                    <w:rPr>
                      <w:rFonts w:hint="eastAsia" w:cs="Times New Roman"/>
                      <w:color w:val="auto"/>
                      <w:kern w:val="0"/>
                      <w:sz w:val="21"/>
                      <w:szCs w:val="21"/>
                      <w:lang w:val="en-US" w:eastAsia="zh-CN"/>
                    </w:rPr>
                    <w:t>DA003</w:t>
                  </w:r>
                  <w:r>
                    <w:rPr>
                      <w:rFonts w:ascii="Times New Roman" w:hAnsi="Times New Roman" w:cs="Times New Roman"/>
                      <w:color w:val="auto"/>
                      <w:kern w:val="0"/>
                      <w:sz w:val="21"/>
                      <w:szCs w:val="21"/>
                    </w:rPr>
                    <w:t>废气排放口</w:t>
                  </w:r>
                </w:p>
              </w:tc>
            </w:tr>
            <w:tr w14:paraId="65A2A2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3E74EEA4">
                  <w:pPr>
                    <w:jc w:val="center"/>
                    <w:rPr>
                      <w:rFonts w:hint="eastAsia" w:ascii="Times New Roman" w:hAnsi="Times New Roman" w:eastAsia="宋体" w:cs="Times New Roman"/>
                      <w:color w:val="auto"/>
                      <w:kern w:val="0"/>
                      <w:sz w:val="21"/>
                      <w:szCs w:val="21"/>
                      <w:lang w:eastAsia="zh-CN"/>
                    </w:rPr>
                  </w:pPr>
                  <w:r>
                    <w:rPr>
                      <w:rFonts w:hint="eastAsia" w:ascii="Times New Roman" w:hAnsi="Times New Roman" w:eastAsia="宋体" w:cs="Times New Roman"/>
                      <w:color w:val="auto"/>
                      <w:kern w:val="0"/>
                      <w:sz w:val="21"/>
                      <w:szCs w:val="21"/>
                      <w:lang w:eastAsia="zh-CN"/>
                    </w:rPr>
                    <w:drawing>
                      <wp:inline distT="0" distB="0" distL="114300" distR="114300">
                        <wp:extent cx="2729865" cy="2046605"/>
                        <wp:effectExtent l="0" t="0" r="13335" b="10795"/>
                        <wp:docPr id="12" name="图片 12" descr="ce7856c42f63a97bfc7e46178e08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e7856c42f63a97bfc7e46178e081909"/>
                                <pic:cNvPicPr>
                                  <a:picLocks noChangeAspect="1"/>
                                </pic:cNvPicPr>
                              </pic:nvPicPr>
                              <pic:blipFill>
                                <a:blip r:embed="rId20"/>
                                <a:stretch>
                                  <a:fillRect/>
                                </a:stretch>
                              </pic:blipFill>
                              <pic:spPr>
                                <a:xfrm>
                                  <a:off x="0" y="0"/>
                                  <a:ext cx="2729865" cy="2046605"/>
                                </a:xfrm>
                                <a:prstGeom prst="rect">
                                  <a:avLst/>
                                </a:prstGeom>
                              </pic:spPr>
                            </pic:pic>
                          </a:graphicData>
                        </a:graphic>
                      </wp:inline>
                    </w:drawing>
                  </w:r>
                </w:p>
              </w:tc>
              <w:tc>
                <w:tcPr>
                  <w:tcW w:w="2500" w:type="pct"/>
                  <w:vAlign w:val="center"/>
                </w:tcPr>
                <w:p w14:paraId="1E7493C1">
                  <w:pPr>
                    <w:jc w:val="center"/>
                    <w:rPr>
                      <w:rFonts w:hint="eastAsia" w:cs="Times New Roman"/>
                      <w:color w:val="auto"/>
                      <w:kern w:val="0"/>
                      <w:sz w:val="21"/>
                      <w:szCs w:val="21"/>
                      <w:lang w:val="en-US" w:eastAsia="zh-CN"/>
                    </w:rPr>
                  </w:pPr>
                  <w:r>
                    <w:rPr>
                      <w:rFonts w:hint="eastAsia" w:cs="Times New Roman"/>
                      <w:color w:val="auto"/>
                      <w:kern w:val="0"/>
                      <w:sz w:val="21"/>
                      <w:szCs w:val="21"/>
                      <w:lang w:val="en-US" w:eastAsia="zh-CN"/>
                    </w:rPr>
                    <w:drawing>
                      <wp:inline distT="0" distB="0" distL="114300" distR="114300">
                        <wp:extent cx="2729865" cy="2046605"/>
                        <wp:effectExtent l="0" t="0" r="13335" b="10795"/>
                        <wp:docPr id="4" name="图片 4" descr="1a9bae7b5494f5a595dea8c1e289e0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a9bae7b5494f5a595dea8c1e289e09f"/>
                                <pic:cNvPicPr>
                                  <a:picLocks noChangeAspect="1"/>
                                </pic:cNvPicPr>
                              </pic:nvPicPr>
                              <pic:blipFill>
                                <a:blip r:embed="rId21"/>
                                <a:stretch>
                                  <a:fillRect/>
                                </a:stretch>
                              </pic:blipFill>
                              <pic:spPr>
                                <a:xfrm>
                                  <a:off x="0" y="0"/>
                                  <a:ext cx="2729865" cy="2046605"/>
                                </a:xfrm>
                                <a:prstGeom prst="rect">
                                  <a:avLst/>
                                </a:prstGeom>
                              </pic:spPr>
                            </pic:pic>
                          </a:graphicData>
                        </a:graphic>
                      </wp:inline>
                    </w:drawing>
                  </w:r>
                </w:p>
              </w:tc>
            </w:tr>
            <w:tr w14:paraId="33C616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6373EB5E">
                  <w:pPr>
                    <w:jc w:val="center"/>
                    <w:rPr>
                      <w:rFonts w:ascii="Times New Roman" w:hAnsi="Times New Roman" w:cs="Times New Roman"/>
                      <w:color w:val="auto"/>
                      <w:kern w:val="0"/>
                      <w:sz w:val="21"/>
                      <w:szCs w:val="21"/>
                    </w:rPr>
                  </w:pPr>
                  <w:r>
                    <w:rPr>
                      <w:rFonts w:hint="eastAsia" w:cs="Times New Roman"/>
                      <w:color w:val="auto"/>
                      <w:kern w:val="0"/>
                      <w:sz w:val="21"/>
                      <w:szCs w:val="21"/>
                      <w:lang w:val="en-US" w:eastAsia="zh-CN"/>
                    </w:rPr>
                    <w:t>噪声排放源</w:t>
                  </w:r>
                </w:p>
              </w:tc>
              <w:tc>
                <w:tcPr>
                  <w:tcW w:w="2500" w:type="pct"/>
                  <w:vAlign w:val="center"/>
                </w:tcPr>
                <w:p w14:paraId="7BF15442">
                  <w:pPr>
                    <w:jc w:val="center"/>
                    <w:rPr>
                      <w:rFonts w:hint="eastAsia" w:cs="Times New Roman"/>
                      <w:color w:val="auto"/>
                      <w:kern w:val="0"/>
                      <w:sz w:val="21"/>
                      <w:szCs w:val="21"/>
                      <w:lang w:val="en-US" w:eastAsia="zh-CN"/>
                    </w:rPr>
                  </w:pPr>
                  <w:r>
                    <w:rPr>
                      <w:rFonts w:ascii="Times New Roman" w:hAnsi="Times New Roman" w:cs="Times New Roman"/>
                      <w:color w:val="auto"/>
                      <w:kern w:val="0"/>
                      <w:sz w:val="21"/>
                      <w:szCs w:val="21"/>
                    </w:rPr>
                    <w:t>一般固废暂存间</w:t>
                  </w:r>
                </w:p>
              </w:tc>
            </w:tr>
            <w:tr w14:paraId="3C7A9C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76296AF0">
                  <w:pPr>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drawing>
                      <wp:inline distT="0" distB="0" distL="114300" distR="114300">
                        <wp:extent cx="2741295" cy="3656330"/>
                        <wp:effectExtent l="0" t="0" r="1905" b="1270"/>
                        <wp:docPr id="11" name="图片 11" descr="9aa473ad0229702c57da938026aa5c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aa473ad0229702c57da938026aa5c81"/>
                                <pic:cNvPicPr>
                                  <a:picLocks noChangeAspect="1"/>
                                </pic:cNvPicPr>
                              </pic:nvPicPr>
                              <pic:blipFill>
                                <a:blip r:embed="rId22"/>
                                <a:stretch>
                                  <a:fillRect/>
                                </a:stretch>
                              </pic:blipFill>
                              <pic:spPr>
                                <a:xfrm>
                                  <a:off x="0" y="0"/>
                                  <a:ext cx="2741295" cy="3656330"/>
                                </a:xfrm>
                                <a:prstGeom prst="rect">
                                  <a:avLst/>
                                </a:prstGeom>
                              </pic:spPr>
                            </pic:pic>
                          </a:graphicData>
                        </a:graphic>
                      </wp:inline>
                    </w:drawing>
                  </w:r>
                </w:p>
              </w:tc>
              <w:tc>
                <w:tcPr>
                  <w:tcW w:w="2500" w:type="pct"/>
                  <w:vAlign w:val="center"/>
                </w:tcPr>
                <w:p w14:paraId="461190CD">
                  <w:pPr>
                    <w:jc w:val="center"/>
                    <w:rPr>
                      <w:rFonts w:hint="eastAsia" w:ascii="Times New Roman" w:hAnsi="Times New Roman" w:eastAsia="宋体" w:cs="Times New Roman"/>
                      <w:color w:val="auto"/>
                      <w:sz w:val="21"/>
                      <w:szCs w:val="21"/>
                      <w:lang w:eastAsia="zh-CN"/>
                    </w:rPr>
                  </w:pPr>
                  <w:r>
                    <w:rPr>
                      <w:rFonts w:hint="eastAsia" w:eastAsia="宋体" w:cs="Times New Roman"/>
                      <w:color w:val="auto"/>
                      <w:kern w:val="0"/>
                      <w:sz w:val="21"/>
                      <w:szCs w:val="21"/>
                      <w:lang w:eastAsia="zh-CN"/>
                    </w:rPr>
                    <w:drawing>
                      <wp:inline distT="0" distB="0" distL="114300" distR="114300">
                        <wp:extent cx="2729865" cy="2046605"/>
                        <wp:effectExtent l="0" t="0" r="13335" b="10795"/>
                        <wp:docPr id="8" name="图片 8" descr="afec0b8383da9f04ce44f9334146e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fec0b8383da9f04ce44f9334146e084"/>
                                <pic:cNvPicPr>
                                  <a:picLocks noChangeAspect="1"/>
                                </pic:cNvPicPr>
                              </pic:nvPicPr>
                              <pic:blipFill>
                                <a:blip r:embed="rId23"/>
                                <a:stretch>
                                  <a:fillRect/>
                                </a:stretch>
                              </pic:blipFill>
                              <pic:spPr>
                                <a:xfrm>
                                  <a:off x="0" y="0"/>
                                  <a:ext cx="2729865" cy="2046605"/>
                                </a:xfrm>
                                <a:prstGeom prst="rect">
                                  <a:avLst/>
                                </a:prstGeom>
                              </pic:spPr>
                            </pic:pic>
                          </a:graphicData>
                        </a:graphic>
                      </wp:inline>
                    </w:drawing>
                  </w:r>
                </w:p>
              </w:tc>
            </w:tr>
            <w:tr w14:paraId="573FAE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35E63D05">
                  <w:pPr>
                    <w:jc w:val="center"/>
                    <w:rPr>
                      <w:rFonts w:hint="eastAsia" w:ascii="Times New Roman" w:hAnsi="Times New Roman" w:eastAsia="宋体" w:cs="Times New Roman"/>
                      <w:color w:val="auto"/>
                      <w:sz w:val="21"/>
                      <w:szCs w:val="21"/>
                      <w:lang w:eastAsia="zh-CN"/>
                    </w:rPr>
                  </w:pPr>
                  <w:r>
                    <w:rPr>
                      <w:rFonts w:hint="eastAsia" w:cs="Times New Roman"/>
                      <w:color w:val="auto"/>
                      <w:kern w:val="0"/>
                      <w:sz w:val="21"/>
                      <w:szCs w:val="21"/>
                      <w:lang w:eastAsia="zh-CN"/>
                    </w:rPr>
                    <w:t>危废</w:t>
                  </w:r>
                  <w:r>
                    <w:rPr>
                      <w:rFonts w:ascii="Times New Roman" w:hAnsi="Times New Roman" w:cs="Times New Roman"/>
                      <w:color w:val="auto"/>
                      <w:kern w:val="0"/>
                      <w:sz w:val="21"/>
                      <w:szCs w:val="21"/>
                    </w:rPr>
                    <w:t>间</w:t>
                  </w:r>
                </w:p>
              </w:tc>
              <w:tc>
                <w:tcPr>
                  <w:tcW w:w="2500" w:type="pct"/>
                  <w:vAlign w:val="center"/>
                </w:tcPr>
                <w:p w14:paraId="1768B747">
                  <w:pPr>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布袋除尘器</w:t>
                  </w:r>
                  <w:r>
                    <w:rPr>
                      <w:rFonts w:hint="eastAsia"/>
                      <w:color w:val="auto"/>
                      <w:sz w:val="21"/>
                      <w:szCs w:val="21"/>
                      <w:highlight w:val="none"/>
                      <w:lang w:eastAsia="zh-CN"/>
                    </w:rPr>
                    <w:t>TA001</w:t>
                  </w:r>
                </w:p>
              </w:tc>
            </w:tr>
            <w:tr w14:paraId="326AA4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41610F8A">
                  <w:pPr>
                    <w:jc w:val="center"/>
                    <w:rPr>
                      <w:rFonts w:hint="eastAsia" w:eastAsia="宋体" w:cs="Times New Roman"/>
                      <w:color w:val="auto"/>
                      <w:kern w:val="0"/>
                      <w:sz w:val="21"/>
                      <w:szCs w:val="21"/>
                      <w:lang w:eastAsia="zh-CN"/>
                    </w:rPr>
                  </w:pPr>
                  <w:r>
                    <w:rPr>
                      <w:rFonts w:hint="eastAsia" w:eastAsia="宋体" w:cs="Times New Roman"/>
                      <w:color w:val="auto"/>
                      <w:kern w:val="0"/>
                      <w:sz w:val="21"/>
                      <w:szCs w:val="21"/>
                      <w:lang w:eastAsia="zh-CN"/>
                    </w:rPr>
                    <w:drawing>
                      <wp:inline distT="0" distB="0" distL="114300" distR="114300">
                        <wp:extent cx="2729865" cy="2046605"/>
                        <wp:effectExtent l="0" t="0" r="13335" b="10795"/>
                        <wp:docPr id="13" name="图片 13" descr="eed2f3bdda2cf5ee46e863467caa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ed2f3bdda2cf5ee46e863467caa9303"/>
                                <pic:cNvPicPr>
                                  <a:picLocks noChangeAspect="1"/>
                                </pic:cNvPicPr>
                              </pic:nvPicPr>
                              <pic:blipFill>
                                <a:blip r:embed="rId24"/>
                                <a:stretch>
                                  <a:fillRect/>
                                </a:stretch>
                              </pic:blipFill>
                              <pic:spPr>
                                <a:xfrm>
                                  <a:off x="0" y="0"/>
                                  <a:ext cx="2729865" cy="2046605"/>
                                </a:xfrm>
                                <a:prstGeom prst="rect">
                                  <a:avLst/>
                                </a:prstGeom>
                              </pic:spPr>
                            </pic:pic>
                          </a:graphicData>
                        </a:graphic>
                      </wp:inline>
                    </w:drawing>
                  </w:r>
                </w:p>
              </w:tc>
              <w:tc>
                <w:tcPr>
                  <w:tcW w:w="2500" w:type="pct"/>
                  <w:vAlign w:val="center"/>
                </w:tcPr>
                <w:p w14:paraId="1C8522B3">
                  <w:pPr>
                    <w:jc w:val="center"/>
                    <w:rPr>
                      <w:rFonts w:hint="eastAsia" w:cs="Times New Roman"/>
                      <w:color w:val="auto"/>
                      <w:sz w:val="21"/>
                      <w:szCs w:val="21"/>
                      <w:lang w:eastAsia="zh-CN"/>
                    </w:rPr>
                  </w:pPr>
                  <w:r>
                    <w:rPr>
                      <w:rFonts w:hint="eastAsia" w:cs="Times New Roman"/>
                      <w:color w:val="auto"/>
                      <w:sz w:val="21"/>
                      <w:szCs w:val="21"/>
                      <w:lang w:eastAsia="zh-CN"/>
                    </w:rPr>
                    <w:drawing>
                      <wp:inline distT="0" distB="0" distL="114300" distR="114300">
                        <wp:extent cx="2729865" cy="2046605"/>
                        <wp:effectExtent l="0" t="0" r="13335" b="10795"/>
                        <wp:docPr id="9" name="图片 9" descr="7e7b36136a6e5873a057beb54844bb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e7b36136a6e5873a057beb54844bb7c"/>
                                <pic:cNvPicPr>
                                  <a:picLocks noChangeAspect="1"/>
                                </pic:cNvPicPr>
                              </pic:nvPicPr>
                              <pic:blipFill>
                                <a:blip r:embed="rId25"/>
                                <a:stretch>
                                  <a:fillRect/>
                                </a:stretch>
                              </pic:blipFill>
                              <pic:spPr>
                                <a:xfrm>
                                  <a:off x="0" y="0"/>
                                  <a:ext cx="2729865" cy="2046605"/>
                                </a:xfrm>
                                <a:prstGeom prst="rect">
                                  <a:avLst/>
                                </a:prstGeom>
                              </pic:spPr>
                            </pic:pic>
                          </a:graphicData>
                        </a:graphic>
                      </wp:inline>
                    </w:drawing>
                  </w:r>
                </w:p>
              </w:tc>
            </w:tr>
            <w:tr w14:paraId="2144EC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16949DAD">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eastAsia="zh-CN"/>
                    </w:rPr>
                    <w:t>布袋除尘器</w:t>
                  </w:r>
                  <w:r>
                    <w:rPr>
                      <w:rFonts w:hint="eastAsia"/>
                      <w:color w:val="auto"/>
                      <w:sz w:val="21"/>
                      <w:szCs w:val="21"/>
                      <w:highlight w:val="none"/>
                      <w:lang w:eastAsia="zh-CN"/>
                    </w:rPr>
                    <w:t>TA00</w:t>
                  </w:r>
                  <w:r>
                    <w:rPr>
                      <w:rFonts w:hint="eastAsia"/>
                      <w:color w:val="auto"/>
                      <w:sz w:val="21"/>
                      <w:szCs w:val="21"/>
                      <w:highlight w:val="none"/>
                      <w:lang w:val="en-US" w:eastAsia="zh-CN"/>
                    </w:rPr>
                    <w:t>2</w:t>
                  </w:r>
                </w:p>
              </w:tc>
              <w:tc>
                <w:tcPr>
                  <w:tcW w:w="2500" w:type="pct"/>
                  <w:vAlign w:val="center"/>
                </w:tcPr>
                <w:p w14:paraId="5DB16610">
                  <w:pPr>
                    <w:jc w:val="center"/>
                    <w:rPr>
                      <w:rFonts w:hint="default" w:cs="Times New Roman"/>
                      <w:color w:val="auto"/>
                      <w:sz w:val="21"/>
                      <w:szCs w:val="21"/>
                      <w:lang w:val="en-US" w:eastAsia="zh-CN"/>
                    </w:rPr>
                  </w:pPr>
                  <w:r>
                    <w:rPr>
                      <w:rFonts w:hint="eastAsia" w:cs="Times New Roman"/>
                      <w:color w:val="auto"/>
                      <w:kern w:val="0"/>
                      <w:sz w:val="21"/>
                      <w:szCs w:val="21"/>
                      <w:lang w:eastAsia="zh-CN"/>
                    </w:rPr>
                    <w:t>布袋除尘器</w:t>
                  </w:r>
                  <w:r>
                    <w:rPr>
                      <w:rFonts w:hint="eastAsia"/>
                      <w:color w:val="auto"/>
                      <w:sz w:val="21"/>
                      <w:szCs w:val="21"/>
                      <w:highlight w:val="none"/>
                      <w:lang w:eastAsia="zh-CN"/>
                    </w:rPr>
                    <w:t>TA00</w:t>
                  </w:r>
                  <w:r>
                    <w:rPr>
                      <w:rFonts w:hint="eastAsia"/>
                      <w:color w:val="auto"/>
                      <w:sz w:val="21"/>
                      <w:szCs w:val="21"/>
                      <w:highlight w:val="none"/>
                      <w:lang w:val="en-US" w:eastAsia="zh-CN"/>
                    </w:rPr>
                    <w:t>3</w:t>
                  </w:r>
                </w:p>
              </w:tc>
            </w:tr>
            <w:tr w14:paraId="39E7667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0DB1F89D">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kern w:val="0"/>
                      <w:sz w:val="21"/>
                      <w:szCs w:val="21"/>
                      <w:lang w:eastAsia="zh-CN"/>
                    </w:rPr>
                  </w:pPr>
                  <w:r>
                    <w:rPr>
                      <w:rFonts w:hint="eastAsia" w:cs="Times New Roman"/>
                      <w:color w:val="auto"/>
                      <w:kern w:val="0"/>
                      <w:sz w:val="21"/>
                      <w:szCs w:val="21"/>
                      <w:lang w:eastAsia="zh-CN"/>
                    </w:rPr>
                    <w:drawing>
                      <wp:inline distT="0" distB="0" distL="114300" distR="114300">
                        <wp:extent cx="2729865" cy="2046605"/>
                        <wp:effectExtent l="0" t="0" r="13335" b="10795"/>
                        <wp:docPr id="1" name="图片 1" descr="769e54ad0286dc6c4b81d4be02fa78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69e54ad0286dc6c4b81d4be02fa78bf"/>
                                <pic:cNvPicPr>
                                  <a:picLocks noChangeAspect="1"/>
                                </pic:cNvPicPr>
                              </pic:nvPicPr>
                              <pic:blipFill>
                                <a:blip r:embed="rId26"/>
                                <a:stretch>
                                  <a:fillRect/>
                                </a:stretch>
                              </pic:blipFill>
                              <pic:spPr>
                                <a:xfrm>
                                  <a:off x="0" y="0"/>
                                  <a:ext cx="2729865" cy="2046605"/>
                                </a:xfrm>
                                <a:prstGeom prst="rect">
                                  <a:avLst/>
                                </a:prstGeom>
                              </pic:spPr>
                            </pic:pic>
                          </a:graphicData>
                        </a:graphic>
                      </wp:inline>
                    </w:drawing>
                  </w:r>
                </w:p>
              </w:tc>
              <w:tc>
                <w:tcPr>
                  <w:tcW w:w="2500" w:type="pct"/>
                  <w:vAlign w:val="center"/>
                </w:tcPr>
                <w:p w14:paraId="4966084C">
                  <w:pPr>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w:t>
                  </w:r>
                </w:p>
              </w:tc>
            </w:tr>
            <w:tr w14:paraId="05DB25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0BC91396">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kern w:val="0"/>
                      <w:sz w:val="21"/>
                      <w:szCs w:val="21"/>
                      <w:lang w:eastAsia="zh-CN"/>
                    </w:rPr>
                  </w:pPr>
                  <w:r>
                    <w:rPr>
                      <w:rFonts w:hint="eastAsia"/>
                      <w:color w:val="auto"/>
                      <w:sz w:val="21"/>
                      <w:szCs w:val="21"/>
                      <w:highlight w:val="none"/>
                      <w:lang w:eastAsia="zh-CN"/>
                    </w:rPr>
                    <w:t>二级活性炭吸附装置TA004</w:t>
                  </w:r>
                </w:p>
              </w:tc>
              <w:tc>
                <w:tcPr>
                  <w:tcW w:w="2500" w:type="pct"/>
                  <w:vAlign w:val="center"/>
                </w:tcPr>
                <w:p w14:paraId="6E56D8AE">
                  <w:pPr>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w:t>
                  </w:r>
                </w:p>
              </w:tc>
            </w:tr>
          </w:tbl>
          <w:p w14:paraId="6630EF42">
            <w:pPr>
              <w:widowControl/>
              <w:spacing w:line="360" w:lineRule="auto"/>
              <w:rPr>
                <w:rFonts w:hint="eastAsia" w:ascii="Times New Roman" w:hAnsi="Times New Roman" w:eastAsia="宋体" w:cs="Times New Roman"/>
                <w:b/>
                <w:color w:val="auto"/>
                <w:kern w:val="0"/>
                <w:sz w:val="24"/>
                <w:szCs w:val="24"/>
              </w:rPr>
            </w:pPr>
            <w:r>
              <w:rPr>
                <w:rFonts w:hint="eastAsia" w:ascii="Times New Roman" w:hAnsi="Times New Roman" w:eastAsia="宋体" w:cs="Times New Roman"/>
                <w:b/>
                <w:color w:val="auto"/>
                <w:kern w:val="0"/>
                <w:sz w:val="24"/>
                <w:szCs w:val="24"/>
                <w:lang w:val="en-US" w:eastAsia="zh-CN"/>
              </w:rPr>
              <w:t>9.4</w:t>
            </w:r>
            <w:r>
              <w:rPr>
                <w:rFonts w:hint="eastAsia" w:ascii="Times New Roman" w:hAnsi="Times New Roman" w:eastAsia="宋体" w:cs="Times New Roman"/>
                <w:b/>
                <w:color w:val="auto"/>
                <w:kern w:val="0"/>
                <w:sz w:val="24"/>
                <w:szCs w:val="24"/>
              </w:rPr>
              <w:t>验收结论</w:t>
            </w:r>
          </w:p>
          <w:p w14:paraId="64B46AE8">
            <w:pPr>
              <w:widowControl/>
              <w:spacing w:line="360" w:lineRule="auto"/>
              <w:ind w:firstLine="480" w:firstLineChars="200"/>
              <w:rPr>
                <w:rFonts w:hint="eastAsia"/>
                <w:b w:val="0"/>
                <w:bCs/>
                <w:color w:val="auto"/>
                <w:kern w:val="0"/>
                <w:sz w:val="24"/>
                <w:szCs w:val="24"/>
              </w:rPr>
            </w:pPr>
            <w:r>
              <w:rPr>
                <w:rFonts w:hint="eastAsia"/>
                <w:b w:val="0"/>
                <w:bCs/>
                <w:color w:val="auto"/>
                <w:kern w:val="0"/>
                <w:sz w:val="24"/>
                <w:szCs w:val="24"/>
                <w:lang w:eastAsia="zh-CN"/>
              </w:rPr>
              <w:t>项目</w:t>
            </w:r>
            <w:r>
              <w:rPr>
                <w:rFonts w:hint="eastAsia"/>
                <w:b w:val="0"/>
                <w:bCs/>
                <w:color w:val="auto"/>
                <w:kern w:val="0"/>
                <w:sz w:val="24"/>
                <w:szCs w:val="24"/>
              </w:rPr>
              <w:t>验收监测期间，外排的废水、废气、厂界噪声均符合相应标准限值的要求，固体废物得到妥善处理，落实了环评批复的要求。环保措施可行，项目建设至今未接到污染投诉。</w:t>
            </w:r>
          </w:p>
          <w:p w14:paraId="23CE96A2">
            <w:pPr>
              <w:widowControl/>
              <w:spacing w:line="360" w:lineRule="auto"/>
              <w:ind w:firstLine="480" w:firstLineChars="200"/>
              <w:rPr>
                <w:rFonts w:hint="eastAsia"/>
                <w:b w:val="0"/>
                <w:bCs/>
                <w:color w:val="auto"/>
                <w:kern w:val="0"/>
                <w:sz w:val="24"/>
                <w:szCs w:val="24"/>
              </w:rPr>
            </w:pPr>
            <w:r>
              <w:rPr>
                <w:rFonts w:hint="eastAsia"/>
                <w:b w:val="0"/>
                <w:bCs/>
                <w:color w:val="auto"/>
                <w:kern w:val="0"/>
                <w:sz w:val="24"/>
                <w:szCs w:val="24"/>
              </w:rPr>
              <w:t>本项目达到了建设项目竣工环境保护验收的要求，具备申请竣工环境保护验收的条件，建议通过项目竣工环境保护验收。</w:t>
            </w:r>
          </w:p>
          <w:p w14:paraId="53159F8D">
            <w:pPr>
              <w:widowControl/>
              <w:spacing w:line="360" w:lineRule="auto"/>
              <w:rPr>
                <w:b/>
                <w:color w:val="auto"/>
                <w:kern w:val="0"/>
                <w:sz w:val="24"/>
                <w:szCs w:val="24"/>
              </w:rPr>
            </w:pPr>
            <w:r>
              <w:rPr>
                <w:rFonts w:hint="eastAsia"/>
                <w:b/>
                <w:color w:val="auto"/>
                <w:kern w:val="0"/>
                <w:sz w:val="24"/>
                <w:szCs w:val="24"/>
                <w:lang w:val="en-US" w:eastAsia="zh-CN"/>
              </w:rPr>
              <w:t>9.5</w:t>
            </w:r>
            <w:r>
              <w:rPr>
                <w:b/>
                <w:color w:val="auto"/>
                <w:kern w:val="0"/>
                <w:sz w:val="24"/>
                <w:szCs w:val="24"/>
              </w:rPr>
              <w:t>建议</w:t>
            </w:r>
            <w:r>
              <w:rPr>
                <w:rFonts w:hint="eastAsia"/>
                <w:b/>
                <w:color w:val="auto"/>
                <w:kern w:val="0"/>
                <w:sz w:val="24"/>
                <w:szCs w:val="24"/>
              </w:rPr>
              <w:t>：</w:t>
            </w:r>
          </w:p>
          <w:p w14:paraId="59AA0E83">
            <w:pPr>
              <w:numPr>
                <w:ilvl w:val="0"/>
                <w:numId w:val="6"/>
              </w:numPr>
              <w:adjustRightInd w:val="0"/>
              <w:snapToGrid w:val="0"/>
              <w:spacing w:line="360" w:lineRule="auto"/>
              <w:ind w:firstLine="480" w:firstLineChars="200"/>
              <w:rPr>
                <w:rFonts w:hint="eastAsia" w:eastAsia="宋体"/>
                <w:color w:val="auto"/>
                <w:kern w:val="0"/>
                <w:sz w:val="24"/>
                <w:szCs w:val="24"/>
                <w:lang w:eastAsia="zh-CN"/>
              </w:rPr>
            </w:pPr>
            <w:r>
              <w:rPr>
                <w:rFonts w:hint="eastAsia" w:eastAsia="宋体"/>
                <w:color w:val="auto"/>
                <w:kern w:val="0"/>
                <w:sz w:val="24"/>
                <w:szCs w:val="24"/>
                <w:lang w:eastAsia="zh-CN"/>
              </w:rPr>
              <w:t>加强生产管理，健全治理设施台账，做好环评和批复要求的各项环保设施的维护检修及正常运行。</w:t>
            </w:r>
          </w:p>
          <w:p w14:paraId="122DBE86">
            <w:pPr>
              <w:numPr>
                <w:ilvl w:val="0"/>
                <w:numId w:val="6"/>
              </w:numPr>
              <w:adjustRightInd w:val="0"/>
              <w:snapToGrid w:val="0"/>
              <w:spacing w:line="360" w:lineRule="auto"/>
              <w:ind w:firstLine="480" w:firstLineChars="200"/>
              <w:rPr>
                <w:rFonts w:hint="eastAsia" w:eastAsia="宋体"/>
                <w:color w:val="auto"/>
                <w:kern w:val="0"/>
                <w:sz w:val="24"/>
                <w:szCs w:val="24"/>
                <w:lang w:eastAsia="zh-CN"/>
              </w:rPr>
            </w:pPr>
            <w:r>
              <w:rPr>
                <w:rFonts w:hint="eastAsia" w:eastAsia="宋体"/>
                <w:color w:val="auto"/>
                <w:kern w:val="0"/>
                <w:sz w:val="24"/>
                <w:szCs w:val="24"/>
                <w:lang w:eastAsia="zh-CN"/>
              </w:rPr>
              <w:t>严格执行环保“三同时”制度，定期对各类环保设施进行检修维护，确保各类污染物长期稳定达标排放，并作好长效环境保护管理工作。</w:t>
            </w:r>
          </w:p>
          <w:p w14:paraId="32BF353C">
            <w:pPr>
              <w:adjustRightInd w:val="0"/>
              <w:snapToGrid w:val="0"/>
              <w:spacing w:line="360" w:lineRule="auto"/>
              <w:ind w:firstLine="480" w:firstLineChars="200"/>
              <w:rPr>
                <w:rFonts w:hint="eastAsia" w:eastAsia="宋体"/>
                <w:color w:val="auto"/>
                <w:kern w:val="0"/>
                <w:sz w:val="24"/>
                <w:szCs w:val="24"/>
                <w:lang w:eastAsia="zh-CN"/>
              </w:rPr>
            </w:pPr>
            <w:r>
              <w:rPr>
                <w:rFonts w:hint="eastAsia"/>
                <w:color w:val="auto"/>
                <w:kern w:val="0"/>
                <w:sz w:val="24"/>
                <w:szCs w:val="24"/>
                <w:lang w:val="en-US" w:eastAsia="zh-CN"/>
              </w:rPr>
              <w:t>3</w:t>
            </w:r>
            <w:r>
              <w:rPr>
                <w:rFonts w:hint="eastAsia" w:eastAsia="宋体"/>
                <w:color w:val="auto"/>
                <w:kern w:val="0"/>
                <w:sz w:val="24"/>
                <w:szCs w:val="24"/>
                <w:lang w:eastAsia="zh-CN"/>
              </w:rPr>
              <w:t>、根据现场踏勘发现，一般固体废物堆放较散乱，建议企业对生活垃圾进行集中堆放，定期清理，防止对周边环境产生污染。</w:t>
            </w:r>
          </w:p>
          <w:p w14:paraId="048ACFD2">
            <w:pPr>
              <w:adjustRightInd w:val="0"/>
              <w:snapToGrid w:val="0"/>
              <w:spacing w:line="360" w:lineRule="auto"/>
              <w:ind w:firstLine="480" w:firstLineChars="200"/>
              <w:rPr>
                <w:rFonts w:hint="default" w:eastAsia="宋体"/>
                <w:color w:val="auto"/>
                <w:kern w:val="0"/>
                <w:sz w:val="24"/>
                <w:szCs w:val="24"/>
                <w:lang w:val="en-US" w:eastAsia="zh-CN"/>
              </w:rPr>
            </w:pPr>
            <w:r>
              <w:rPr>
                <w:rFonts w:hint="eastAsia"/>
                <w:color w:val="auto"/>
                <w:kern w:val="0"/>
                <w:sz w:val="24"/>
                <w:szCs w:val="24"/>
                <w:lang w:val="en-US" w:eastAsia="zh-CN"/>
              </w:rPr>
              <w:t>4</w:t>
            </w:r>
            <w:r>
              <w:rPr>
                <w:rFonts w:hint="eastAsia" w:eastAsia="宋体"/>
                <w:color w:val="auto"/>
                <w:kern w:val="0"/>
                <w:sz w:val="24"/>
                <w:szCs w:val="24"/>
                <w:lang w:eastAsia="zh-CN"/>
              </w:rPr>
              <w:t>、对员工进行经常性的环保教育和培训，提高员工的环保意识和操作技能。</w:t>
            </w:r>
          </w:p>
          <w:p w14:paraId="017A8D64">
            <w:pPr>
              <w:adjustRightInd w:val="0"/>
              <w:snapToGrid w:val="0"/>
              <w:spacing w:line="360" w:lineRule="auto"/>
              <w:ind w:firstLine="480" w:firstLineChars="200"/>
              <w:rPr>
                <w:rFonts w:hint="eastAsia" w:eastAsia="宋体"/>
                <w:color w:val="auto"/>
                <w:kern w:val="0"/>
                <w:sz w:val="24"/>
                <w:szCs w:val="24"/>
                <w:lang w:eastAsia="zh-CN"/>
              </w:rPr>
            </w:pPr>
            <w:r>
              <w:rPr>
                <w:rFonts w:hint="eastAsia"/>
                <w:color w:val="auto"/>
                <w:kern w:val="0"/>
                <w:sz w:val="24"/>
                <w:szCs w:val="24"/>
                <w:lang w:val="en-US" w:eastAsia="zh-CN"/>
              </w:rPr>
              <w:t>5</w:t>
            </w:r>
            <w:r>
              <w:rPr>
                <w:rFonts w:hint="eastAsia" w:eastAsia="宋体"/>
                <w:color w:val="auto"/>
                <w:kern w:val="0"/>
                <w:sz w:val="24"/>
                <w:szCs w:val="24"/>
                <w:lang w:eastAsia="zh-CN"/>
              </w:rPr>
              <w:t>、定期开展环境风险应急演练，防止突发性环境风险事故发生。</w:t>
            </w:r>
          </w:p>
        </w:tc>
      </w:tr>
    </w:tbl>
    <w:p w14:paraId="2EC2D952">
      <w:pPr>
        <w:ind w:firstLine="360" w:firstLineChars="200"/>
        <w:rPr>
          <w:color w:val="auto"/>
          <w:sz w:val="18"/>
          <w:szCs w:val="18"/>
        </w:rPr>
      </w:pPr>
    </w:p>
    <w:p w14:paraId="5A48ED12">
      <w:pPr>
        <w:tabs>
          <w:tab w:val="left" w:pos="502"/>
        </w:tabs>
        <w:rPr>
          <w:color w:val="auto"/>
        </w:rPr>
        <w:sectPr>
          <w:pgSz w:w="11907" w:h="16840"/>
          <w:pgMar w:top="1077" w:right="1247" w:bottom="1077" w:left="1247" w:header="851" w:footer="442" w:gutter="0"/>
          <w:pgBorders>
            <w:top w:val="none" w:sz="0" w:space="0"/>
            <w:left w:val="none" w:sz="0" w:space="0"/>
            <w:bottom w:val="none" w:sz="0" w:space="0"/>
            <w:right w:val="none" w:sz="0" w:space="0"/>
          </w:pgBorders>
          <w:cols w:space="720" w:num="1"/>
          <w:docGrid w:type="lines" w:linePitch="312" w:charSpace="0"/>
        </w:sectPr>
      </w:pPr>
      <w:r>
        <w:rPr>
          <w:color w:val="auto"/>
          <w:sz w:val="18"/>
          <w:szCs w:val="18"/>
        </w:rPr>
        <w:tab/>
      </w:r>
    </w:p>
    <w:p w14:paraId="5572A22E">
      <w:pPr>
        <w:pStyle w:val="7"/>
        <w:rPr>
          <w:color w:val="auto"/>
        </w:rPr>
      </w:pPr>
      <w:bookmarkStart w:id="19" w:name="_Toc523906064"/>
      <w:bookmarkStart w:id="20" w:name="_Toc523739623"/>
      <w:r>
        <w:rPr>
          <w:rFonts w:hint="eastAsia"/>
          <w:color w:val="auto"/>
        </w:rPr>
        <w:t>附表</w:t>
      </w:r>
    </w:p>
    <w:p w14:paraId="117C9D82">
      <w:pPr>
        <w:pStyle w:val="7"/>
        <w:keepNext w:val="0"/>
        <w:adjustRightInd w:val="0"/>
        <w:snapToGrid w:val="0"/>
        <w:jc w:val="center"/>
        <w:rPr>
          <w:rFonts w:ascii="宋体" w:hAnsi="宋体" w:cs="宋体"/>
          <w:color w:val="auto"/>
          <w:sz w:val="32"/>
          <w:szCs w:val="32"/>
        </w:rPr>
      </w:pPr>
      <w:r>
        <w:rPr>
          <w:rFonts w:hint="eastAsia" w:ascii="宋体" w:hAnsi="宋体" w:cs="宋体"/>
          <w:color w:val="auto"/>
          <w:sz w:val="32"/>
          <w:szCs w:val="32"/>
        </w:rPr>
        <w:t>建设项目竣工环境保护“三同时”验收登记表</w:t>
      </w:r>
      <w:bookmarkEnd w:id="19"/>
      <w:bookmarkEnd w:id="20"/>
    </w:p>
    <w:p w14:paraId="3927B5D0">
      <w:pPr>
        <w:widowControl/>
        <w:spacing w:line="360" w:lineRule="exact"/>
        <w:rPr>
          <w:color w:val="auto"/>
          <w:szCs w:val="21"/>
        </w:rPr>
      </w:pPr>
      <w:r>
        <w:rPr>
          <w:b/>
          <w:color w:val="auto"/>
          <w:szCs w:val="21"/>
        </w:rPr>
        <w:t>填表单位</w:t>
      </w:r>
      <w:r>
        <w:rPr>
          <w:rFonts w:hint="eastAsia"/>
          <w:b/>
          <w:color w:val="auto"/>
          <w:szCs w:val="21"/>
          <w:lang w:eastAsia="zh-CN"/>
        </w:rPr>
        <w:t>（</w:t>
      </w:r>
      <w:r>
        <w:rPr>
          <w:b/>
          <w:color w:val="auto"/>
          <w:szCs w:val="21"/>
        </w:rPr>
        <w:t>盖章</w:t>
      </w:r>
      <w:r>
        <w:rPr>
          <w:rFonts w:hint="eastAsia"/>
          <w:b/>
          <w:color w:val="auto"/>
          <w:szCs w:val="21"/>
          <w:lang w:eastAsia="zh-CN"/>
        </w:rPr>
        <w:t>）</w:t>
      </w:r>
      <w:r>
        <w:rPr>
          <w:b/>
          <w:color w:val="auto"/>
          <w:szCs w:val="21"/>
        </w:rPr>
        <w:t>:</w:t>
      </w:r>
      <w:r>
        <w:rPr>
          <w:rFonts w:hint="eastAsia"/>
          <w:b/>
          <w:color w:val="auto"/>
          <w:szCs w:val="21"/>
          <w:lang w:val="en-US" w:eastAsia="zh-CN"/>
        </w:rPr>
        <w:t>水联（江西）管道装备有限公司</w:t>
      </w:r>
      <w:r>
        <w:rPr>
          <w:rFonts w:hint="eastAsia"/>
          <w:color w:val="auto"/>
          <w:szCs w:val="21"/>
        </w:rPr>
        <w:t xml:space="preserve">            </w:t>
      </w:r>
      <w:r>
        <w:rPr>
          <w:color w:val="auto"/>
          <w:szCs w:val="21"/>
        </w:rPr>
        <w:t xml:space="preserve">      </w:t>
      </w:r>
      <w:r>
        <w:rPr>
          <w:b/>
          <w:color w:val="auto"/>
          <w:szCs w:val="21"/>
        </w:rPr>
        <w:t>填表人</w:t>
      </w:r>
      <w:r>
        <w:rPr>
          <w:rFonts w:hint="eastAsia"/>
          <w:b/>
          <w:color w:val="auto"/>
          <w:szCs w:val="21"/>
          <w:lang w:eastAsia="zh-CN"/>
        </w:rPr>
        <w:t>（签字）</w:t>
      </w:r>
      <w:r>
        <w:rPr>
          <w:b/>
          <w:color w:val="auto"/>
          <w:szCs w:val="21"/>
        </w:rPr>
        <w:t xml:space="preserve">: </w:t>
      </w:r>
      <w:r>
        <w:rPr>
          <w:color w:val="auto"/>
          <w:szCs w:val="21"/>
        </w:rPr>
        <w:t xml:space="preserve">         </w:t>
      </w:r>
      <w:r>
        <w:rPr>
          <w:rFonts w:hint="eastAsia"/>
          <w:color w:val="auto"/>
          <w:szCs w:val="21"/>
        </w:rPr>
        <w:t xml:space="preserve">     </w:t>
      </w:r>
      <w:r>
        <w:rPr>
          <w:color w:val="auto"/>
          <w:szCs w:val="21"/>
        </w:rPr>
        <w:t xml:space="preserve">            </w:t>
      </w:r>
      <w:r>
        <w:rPr>
          <w:b/>
          <w:color w:val="auto"/>
          <w:szCs w:val="21"/>
        </w:rPr>
        <w:t>项</w:t>
      </w:r>
      <w:r>
        <w:rPr>
          <w:b/>
          <w:bCs w:val="0"/>
          <w:color w:val="auto"/>
          <w:szCs w:val="21"/>
        </w:rPr>
        <w:t>目经办人</w:t>
      </w:r>
      <w:r>
        <w:rPr>
          <w:rFonts w:hint="eastAsia"/>
          <w:b/>
          <w:bCs w:val="0"/>
          <w:color w:val="auto"/>
          <w:szCs w:val="21"/>
          <w:lang w:eastAsia="zh-CN"/>
        </w:rPr>
        <w:t>（签字</w:t>
      </w:r>
      <w:r>
        <w:rPr>
          <w:rFonts w:hint="eastAsia"/>
          <w:b/>
          <w:color w:val="auto"/>
          <w:szCs w:val="21"/>
          <w:lang w:eastAsia="zh-CN"/>
        </w:rPr>
        <w:t>）：</w:t>
      </w:r>
    </w:p>
    <w:tbl>
      <w:tblPr>
        <w:tblStyle w:val="34"/>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61"/>
        <w:gridCol w:w="132"/>
        <w:gridCol w:w="886"/>
        <w:gridCol w:w="586"/>
        <w:gridCol w:w="485"/>
        <w:gridCol w:w="1209"/>
        <w:gridCol w:w="957"/>
        <w:gridCol w:w="714"/>
        <w:gridCol w:w="311"/>
        <w:gridCol w:w="604"/>
        <w:gridCol w:w="1180"/>
        <w:gridCol w:w="412"/>
        <w:gridCol w:w="265"/>
        <w:gridCol w:w="2166"/>
        <w:gridCol w:w="875"/>
        <w:gridCol w:w="503"/>
        <w:gridCol w:w="568"/>
        <w:gridCol w:w="353"/>
        <w:gridCol w:w="658"/>
        <w:gridCol w:w="887"/>
      </w:tblGrid>
      <w:tr w14:paraId="1D7C2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restart"/>
            <w:tcMar>
              <w:left w:w="57" w:type="dxa"/>
              <w:right w:w="57" w:type="dxa"/>
            </w:tcMar>
            <w:textDirection w:val="tbRlV"/>
            <w:vAlign w:val="center"/>
          </w:tcPr>
          <w:p w14:paraId="45E062CE">
            <w:pPr>
              <w:adjustRightInd w:val="0"/>
              <w:snapToGrid w:val="0"/>
              <w:jc w:val="center"/>
              <w:rPr>
                <w:rFonts w:eastAsiaTheme="minorEastAsia"/>
                <w:b/>
                <w:color w:val="auto"/>
                <w:sz w:val="18"/>
                <w:szCs w:val="18"/>
              </w:rPr>
            </w:pPr>
            <w:r>
              <w:rPr>
                <w:rFonts w:eastAsiaTheme="minorEastAsia"/>
                <w:b/>
                <w:color w:val="auto"/>
                <w:sz w:val="18"/>
                <w:szCs w:val="18"/>
              </w:rPr>
              <w:t>建设项目</w:t>
            </w:r>
          </w:p>
        </w:tc>
        <w:tc>
          <w:tcPr>
            <w:tcW w:w="568" w:type="pct"/>
            <w:gridSpan w:val="3"/>
            <w:tcMar>
              <w:left w:w="57" w:type="dxa"/>
              <w:right w:w="57" w:type="dxa"/>
            </w:tcMar>
            <w:vAlign w:val="center"/>
          </w:tcPr>
          <w:p w14:paraId="706A2E05">
            <w:pPr>
              <w:adjustRightInd w:val="0"/>
              <w:snapToGrid w:val="0"/>
              <w:jc w:val="center"/>
              <w:rPr>
                <w:rFonts w:eastAsiaTheme="minorEastAsia"/>
                <w:b/>
                <w:color w:val="auto"/>
                <w:sz w:val="18"/>
                <w:szCs w:val="18"/>
              </w:rPr>
            </w:pPr>
            <w:r>
              <w:rPr>
                <w:rFonts w:eastAsiaTheme="minorEastAsia"/>
                <w:b/>
                <w:color w:val="auto"/>
                <w:sz w:val="18"/>
                <w:szCs w:val="18"/>
              </w:rPr>
              <w:t>项目名称</w:t>
            </w:r>
          </w:p>
        </w:tc>
        <w:tc>
          <w:tcPr>
            <w:tcW w:w="1516" w:type="pct"/>
            <w:gridSpan w:val="6"/>
            <w:tcMar>
              <w:left w:w="57" w:type="dxa"/>
              <w:right w:w="57" w:type="dxa"/>
            </w:tcMar>
            <w:vAlign w:val="center"/>
          </w:tcPr>
          <w:p w14:paraId="238E176A">
            <w:pPr>
              <w:adjustRightInd w:val="0"/>
              <w:snapToGrid w:val="0"/>
              <w:jc w:val="center"/>
              <w:rPr>
                <w:rFonts w:hint="default" w:eastAsiaTheme="minorEastAsia"/>
                <w:color w:val="auto"/>
                <w:sz w:val="18"/>
                <w:szCs w:val="18"/>
                <w:lang w:val="en-US" w:eastAsia="zh-CN"/>
              </w:rPr>
            </w:pPr>
            <w:r>
              <w:rPr>
                <w:rFonts w:hint="default" w:eastAsiaTheme="minorEastAsia"/>
                <w:color w:val="auto"/>
                <w:sz w:val="18"/>
                <w:szCs w:val="18"/>
                <w:lang w:val="en-US" w:eastAsia="zh-CN"/>
              </w:rPr>
              <w:t>水联江西管道装备有限公司年产20万吨螺旋管50万涂塑项目（一期）</w:t>
            </w:r>
          </w:p>
        </w:tc>
        <w:tc>
          <w:tcPr>
            <w:tcW w:w="564" w:type="pct"/>
            <w:gridSpan w:val="2"/>
            <w:tcMar>
              <w:left w:w="57" w:type="dxa"/>
              <w:right w:w="57" w:type="dxa"/>
            </w:tcMar>
            <w:vAlign w:val="center"/>
          </w:tcPr>
          <w:p w14:paraId="7C88E4B5">
            <w:pPr>
              <w:adjustRightInd w:val="0"/>
              <w:snapToGrid w:val="0"/>
              <w:jc w:val="center"/>
              <w:rPr>
                <w:rFonts w:eastAsiaTheme="minorEastAsia"/>
                <w:b/>
                <w:color w:val="auto"/>
                <w:sz w:val="18"/>
                <w:szCs w:val="18"/>
              </w:rPr>
            </w:pPr>
            <w:r>
              <w:rPr>
                <w:rFonts w:eastAsiaTheme="minorEastAsia"/>
                <w:b/>
                <w:color w:val="auto"/>
                <w:sz w:val="18"/>
                <w:szCs w:val="18"/>
              </w:rPr>
              <w:t>项目代码</w:t>
            </w:r>
          </w:p>
        </w:tc>
        <w:tc>
          <w:tcPr>
            <w:tcW w:w="861" w:type="pct"/>
            <w:gridSpan w:val="2"/>
            <w:tcMar>
              <w:left w:w="57" w:type="dxa"/>
              <w:right w:w="57" w:type="dxa"/>
            </w:tcMar>
            <w:vAlign w:val="center"/>
          </w:tcPr>
          <w:p w14:paraId="4DC8054A">
            <w:pPr>
              <w:adjustRightInd w:val="0"/>
              <w:snapToGrid w:val="0"/>
              <w:jc w:val="center"/>
              <w:rPr>
                <w:rFonts w:eastAsiaTheme="minorEastAsia"/>
                <w:color w:val="auto"/>
                <w:sz w:val="18"/>
                <w:szCs w:val="18"/>
              </w:rPr>
            </w:pPr>
            <w:r>
              <w:rPr>
                <w:rFonts w:hint="eastAsia" w:eastAsiaTheme="minorEastAsia"/>
                <w:color w:val="auto"/>
                <w:sz w:val="18"/>
                <w:szCs w:val="18"/>
              </w:rPr>
              <w:t>2312-360121-04-05-503856</w:t>
            </w:r>
          </w:p>
        </w:tc>
        <w:tc>
          <w:tcPr>
            <w:tcW w:w="488" w:type="pct"/>
            <w:gridSpan w:val="2"/>
            <w:tcMar>
              <w:left w:w="57" w:type="dxa"/>
              <w:right w:w="57" w:type="dxa"/>
            </w:tcMar>
            <w:vAlign w:val="center"/>
          </w:tcPr>
          <w:p w14:paraId="190FA974">
            <w:pPr>
              <w:adjustRightInd w:val="0"/>
              <w:snapToGrid w:val="0"/>
              <w:jc w:val="center"/>
              <w:rPr>
                <w:rFonts w:eastAsiaTheme="minorEastAsia"/>
                <w:color w:val="auto"/>
                <w:sz w:val="18"/>
                <w:szCs w:val="18"/>
              </w:rPr>
            </w:pPr>
            <w:r>
              <w:rPr>
                <w:rFonts w:eastAsiaTheme="minorEastAsia"/>
                <w:b/>
                <w:color w:val="auto"/>
                <w:sz w:val="18"/>
                <w:szCs w:val="18"/>
              </w:rPr>
              <w:t>建设地点</w:t>
            </w:r>
          </w:p>
        </w:tc>
        <w:tc>
          <w:tcPr>
            <w:tcW w:w="873" w:type="pct"/>
            <w:gridSpan w:val="4"/>
            <w:tcMar>
              <w:left w:w="57" w:type="dxa"/>
              <w:right w:w="57" w:type="dxa"/>
            </w:tcMar>
            <w:vAlign w:val="center"/>
          </w:tcPr>
          <w:p w14:paraId="5E1BB86F">
            <w:pPr>
              <w:adjustRightInd w:val="0"/>
              <w:snapToGrid w:val="0"/>
              <w:ind w:right="-105" w:rightChars="-50"/>
              <w:jc w:val="center"/>
              <w:rPr>
                <w:rFonts w:hint="eastAsia" w:eastAsiaTheme="minorEastAsia"/>
                <w:color w:val="auto"/>
                <w:sz w:val="18"/>
                <w:szCs w:val="18"/>
                <w:lang w:eastAsia="zh-CN"/>
              </w:rPr>
            </w:pPr>
            <w:r>
              <w:rPr>
                <w:rFonts w:hint="eastAsia" w:eastAsiaTheme="minorEastAsia"/>
                <w:color w:val="auto"/>
                <w:sz w:val="18"/>
                <w:szCs w:val="18"/>
                <w:lang w:eastAsia="zh-CN"/>
              </w:rPr>
              <w:t>江西省南昌市南昌县八一乡胡华村雪芹路</w:t>
            </w:r>
            <w:r>
              <w:rPr>
                <w:rFonts w:hint="eastAsia" w:eastAsiaTheme="minorEastAsia"/>
                <w:color w:val="auto"/>
                <w:sz w:val="18"/>
                <w:szCs w:val="18"/>
                <w:lang w:val="en-US" w:eastAsia="zh-CN"/>
              </w:rPr>
              <w:t>67号</w:t>
            </w:r>
            <w:r>
              <w:rPr>
                <w:rFonts w:hint="eastAsia" w:eastAsiaTheme="minorEastAsia"/>
                <w:color w:val="auto"/>
                <w:sz w:val="18"/>
                <w:szCs w:val="18"/>
                <w:lang w:eastAsia="zh-CN"/>
              </w:rPr>
              <w:t xml:space="preserve"> </w:t>
            </w:r>
          </w:p>
        </w:tc>
      </w:tr>
      <w:tr w14:paraId="0B782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5C13FB03">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4F3A1EDD">
            <w:pPr>
              <w:adjustRightInd w:val="0"/>
              <w:snapToGrid w:val="0"/>
              <w:jc w:val="center"/>
              <w:rPr>
                <w:rFonts w:eastAsiaTheme="minorEastAsia"/>
                <w:b/>
                <w:color w:val="auto"/>
                <w:sz w:val="18"/>
                <w:szCs w:val="18"/>
              </w:rPr>
            </w:pPr>
            <w:r>
              <w:rPr>
                <w:rFonts w:eastAsiaTheme="minorEastAsia"/>
                <w:b/>
                <w:color w:val="auto"/>
                <w:sz w:val="18"/>
                <w:szCs w:val="18"/>
              </w:rPr>
              <w:t>行业类别</w:t>
            </w:r>
          </w:p>
          <w:p w14:paraId="34384922">
            <w:pPr>
              <w:adjustRightInd w:val="0"/>
              <w:snapToGrid w:val="0"/>
              <w:jc w:val="center"/>
              <w:rPr>
                <w:rFonts w:eastAsiaTheme="minorEastAsia"/>
                <w:color w:val="auto"/>
                <w:sz w:val="18"/>
                <w:szCs w:val="18"/>
              </w:rPr>
            </w:pPr>
            <w:r>
              <w:rPr>
                <w:rFonts w:eastAsiaTheme="minorEastAsia"/>
                <w:b/>
                <w:color w:val="auto"/>
                <w:sz w:val="18"/>
                <w:szCs w:val="18"/>
              </w:rPr>
              <w:t>（分类管理名录）</w:t>
            </w:r>
          </w:p>
        </w:tc>
        <w:tc>
          <w:tcPr>
            <w:tcW w:w="1516" w:type="pct"/>
            <w:gridSpan w:val="6"/>
            <w:tcMar>
              <w:left w:w="57" w:type="dxa"/>
              <w:right w:w="57" w:type="dxa"/>
            </w:tcMar>
            <w:vAlign w:val="center"/>
          </w:tcPr>
          <w:p w14:paraId="67E5B899">
            <w:pPr>
              <w:adjustRightInd w:val="0"/>
              <w:snapToGrid w:val="0"/>
              <w:jc w:val="center"/>
              <w:rPr>
                <w:rFonts w:hint="default" w:eastAsiaTheme="minorEastAsia"/>
                <w:color w:val="auto"/>
                <w:sz w:val="18"/>
                <w:szCs w:val="18"/>
                <w:lang w:val="en-US" w:eastAsia="zh-CN"/>
              </w:rPr>
            </w:pPr>
            <w:r>
              <w:rPr>
                <w:rFonts w:hint="default" w:eastAsiaTheme="minorEastAsia"/>
                <w:color w:val="auto"/>
                <w:sz w:val="18"/>
                <w:szCs w:val="18"/>
                <w:lang w:val="en-US" w:eastAsia="zh-CN"/>
              </w:rPr>
              <w:t>三十、金属制品业33”中的“66条</w:t>
            </w:r>
            <w:r>
              <w:rPr>
                <w:rFonts w:hint="eastAsia" w:eastAsiaTheme="minorEastAsia"/>
                <w:color w:val="auto"/>
                <w:sz w:val="18"/>
                <w:szCs w:val="18"/>
                <w:lang w:val="en-US" w:eastAsia="zh-CN"/>
              </w:rPr>
              <w:t>：</w:t>
            </w:r>
            <w:r>
              <w:rPr>
                <w:rFonts w:hint="default" w:eastAsiaTheme="minorEastAsia"/>
                <w:color w:val="auto"/>
                <w:sz w:val="18"/>
                <w:szCs w:val="18"/>
                <w:lang w:val="en-US" w:eastAsia="zh-CN"/>
              </w:rPr>
              <w:t>结构性金属制品制造331”中的“其他</w:t>
            </w:r>
            <w:r>
              <w:rPr>
                <w:rFonts w:hint="eastAsia" w:eastAsiaTheme="minorEastAsia"/>
                <w:color w:val="auto"/>
                <w:sz w:val="18"/>
                <w:szCs w:val="18"/>
                <w:lang w:val="en-US" w:eastAsia="zh-CN"/>
              </w:rPr>
              <w:t>（</w:t>
            </w:r>
            <w:r>
              <w:rPr>
                <w:rFonts w:hint="default" w:eastAsiaTheme="minorEastAsia"/>
                <w:color w:val="auto"/>
                <w:sz w:val="18"/>
                <w:szCs w:val="18"/>
                <w:lang w:val="en-US" w:eastAsia="zh-CN"/>
              </w:rPr>
              <w:t>仅分割、焊接、组装的除外</w:t>
            </w:r>
            <w:r>
              <w:rPr>
                <w:rFonts w:hint="eastAsia" w:eastAsiaTheme="minorEastAsia"/>
                <w:color w:val="auto"/>
                <w:sz w:val="18"/>
                <w:szCs w:val="18"/>
                <w:lang w:val="en-US" w:eastAsia="zh-CN"/>
              </w:rPr>
              <w:t>；</w:t>
            </w:r>
            <w:r>
              <w:rPr>
                <w:rFonts w:hint="default" w:eastAsiaTheme="minorEastAsia"/>
                <w:color w:val="auto"/>
                <w:sz w:val="18"/>
                <w:szCs w:val="18"/>
                <w:lang w:val="en-US" w:eastAsia="zh-CN"/>
              </w:rPr>
              <w:t>年用非溶剂型低VOCs含量涂料10吨以下的除外</w:t>
            </w:r>
            <w:r>
              <w:rPr>
                <w:rFonts w:hint="eastAsia" w:eastAsiaTheme="minorEastAsia"/>
                <w:color w:val="auto"/>
                <w:sz w:val="18"/>
                <w:szCs w:val="18"/>
                <w:lang w:val="en-US" w:eastAsia="zh-CN"/>
              </w:rPr>
              <w:t>）</w:t>
            </w:r>
          </w:p>
        </w:tc>
        <w:tc>
          <w:tcPr>
            <w:tcW w:w="564" w:type="pct"/>
            <w:gridSpan w:val="2"/>
            <w:tcMar>
              <w:left w:w="57" w:type="dxa"/>
              <w:right w:w="57" w:type="dxa"/>
            </w:tcMar>
            <w:vAlign w:val="center"/>
          </w:tcPr>
          <w:p w14:paraId="31346430">
            <w:pPr>
              <w:adjustRightInd w:val="0"/>
              <w:snapToGrid w:val="0"/>
              <w:jc w:val="center"/>
              <w:rPr>
                <w:rFonts w:eastAsiaTheme="minorEastAsia"/>
                <w:b/>
                <w:color w:val="auto"/>
                <w:sz w:val="18"/>
                <w:szCs w:val="18"/>
              </w:rPr>
            </w:pPr>
            <w:r>
              <w:rPr>
                <w:rFonts w:eastAsiaTheme="minorEastAsia"/>
                <w:b/>
                <w:color w:val="auto"/>
                <w:sz w:val="18"/>
                <w:szCs w:val="18"/>
              </w:rPr>
              <w:t>建设性质</w:t>
            </w:r>
          </w:p>
        </w:tc>
        <w:tc>
          <w:tcPr>
            <w:tcW w:w="1349" w:type="pct"/>
            <w:gridSpan w:val="4"/>
            <w:tcMar>
              <w:left w:w="57" w:type="dxa"/>
              <w:right w:w="57" w:type="dxa"/>
            </w:tcMar>
            <w:vAlign w:val="center"/>
          </w:tcPr>
          <w:p w14:paraId="081C930D">
            <w:pPr>
              <w:adjustRightInd w:val="0"/>
              <w:snapToGrid w:val="0"/>
              <w:jc w:val="center"/>
              <w:rPr>
                <w:rFonts w:eastAsiaTheme="minorEastAsia"/>
                <w:color w:val="auto"/>
                <w:sz w:val="18"/>
                <w:szCs w:val="18"/>
              </w:rPr>
            </w:pPr>
            <w:r>
              <w:rPr>
                <w:rFonts w:eastAsiaTheme="minorEastAsia"/>
                <w:b/>
                <w:color w:val="auto"/>
                <w:sz w:val="18"/>
                <w:szCs w:val="18"/>
              </w:rPr>
              <w:t>√新建  □ 改扩建  □技术改造</w:t>
            </w:r>
          </w:p>
        </w:tc>
        <w:tc>
          <w:tcPr>
            <w:tcW w:w="326" w:type="pct"/>
            <w:gridSpan w:val="2"/>
            <w:tcMar>
              <w:left w:w="57" w:type="dxa"/>
              <w:right w:w="57" w:type="dxa"/>
            </w:tcMar>
            <w:vAlign w:val="center"/>
          </w:tcPr>
          <w:p w14:paraId="335669A0">
            <w:pPr>
              <w:adjustRightInd w:val="0"/>
              <w:snapToGrid w:val="0"/>
              <w:jc w:val="center"/>
              <w:rPr>
                <w:rFonts w:eastAsiaTheme="minorEastAsia"/>
                <w:b/>
                <w:color w:val="auto"/>
                <w:sz w:val="18"/>
                <w:szCs w:val="18"/>
              </w:rPr>
            </w:pPr>
            <w:r>
              <w:rPr>
                <w:rFonts w:eastAsiaTheme="minorEastAsia"/>
                <w:b/>
                <w:color w:val="auto"/>
                <w:sz w:val="18"/>
                <w:szCs w:val="18"/>
              </w:rPr>
              <w:t>项目厂区中心经度/纬度</w:t>
            </w:r>
          </w:p>
        </w:tc>
        <w:tc>
          <w:tcPr>
            <w:tcW w:w="547" w:type="pct"/>
            <w:gridSpan w:val="2"/>
            <w:tcMar>
              <w:left w:w="57" w:type="dxa"/>
              <w:right w:w="57" w:type="dxa"/>
            </w:tcMar>
            <w:vAlign w:val="center"/>
          </w:tcPr>
          <w:p w14:paraId="1842CDFE">
            <w:pPr>
              <w:adjustRightInd w:val="0"/>
              <w:snapToGrid w:val="0"/>
              <w:jc w:val="center"/>
              <w:rPr>
                <w:rFonts w:eastAsiaTheme="minorEastAsia"/>
                <w:color w:val="auto"/>
                <w:sz w:val="18"/>
                <w:szCs w:val="18"/>
              </w:rPr>
            </w:pPr>
            <w:r>
              <w:rPr>
                <w:rFonts w:hint="default" w:ascii="Times New Roman" w:hAnsi="Times New Roman" w:cs="Times New Roman" w:eastAsiaTheme="minorEastAsia"/>
                <w:color w:val="auto"/>
                <w:sz w:val="18"/>
                <w:szCs w:val="18"/>
              </w:rPr>
              <w:t>E</w:t>
            </w:r>
            <w:r>
              <w:rPr>
                <w:rFonts w:hint="eastAsia" w:cs="Times New Roman" w:eastAsiaTheme="minorEastAsia"/>
                <w:color w:val="auto"/>
                <w:sz w:val="18"/>
                <w:szCs w:val="18"/>
                <w:lang w:val="en-US" w:eastAsia="zh-CN"/>
              </w:rPr>
              <w:t>115</w:t>
            </w:r>
            <w:r>
              <w:rPr>
                <w:rFonts w:hint="default" w:ascii="Times New Roman" w:hAnsi="Times New Roman" w:cs="Times New Roman" w:eastAsiaTheme="minorEastAsia"/>
                <w:color w:val="auto"/>
                <w:sz w:val="18"/>
                <w:szCs w:val="18"/>
              </w:rPr>
              <w:t>°5</w:t>
            </w:r>
            <w:r>
              <w:rPr>
                <w:rFonts w:hint="eastAsia" w:cs="Times New Roman" w:eastAsiaTheme="minorEastAsia"/>
                <w:color w:val="auto"/>
                <w:sz w:val="18"/>
                <w:szCs w:val="18"/>
                <w:lang w:val="en-US" w:eastAsia="zh-CN"/>
              </w:rPr>
              <w:t>9</w:t>
            </w:r>
            <w:r>
              <w:rPr>
                <w:rFonts w:hint="default" w:ascii="Times New Roman" w:hAnsi="Times New Roman" w:cs="Times New Roman" w:eastAsiaTheme="minorEastAsia"/>
                <w:color w:val="auto"/>
                <w:sz w:val="18"/>
                <w:szCs w:val="18"/>
              </w:rPr>
              <w:t>′</w:t>
            </w:r>
            <w:r>
              <w:rPr>
                <w:rFonts w:hint="eastAsia" w:cs="Times New Roman" w:eastAsiaTheme="minorEastAsia"/>
                <w:color w:val="auto"/>
                <w:sz w:val="18"/>
                <w:szCs w:val="18"/>
                <w:lang w:val="en-US" w:eastAsia="zh-CN"/>
              </w:rPr>
              <w:t>59.462</w:t>
            </w:r>
            <w:r>
              <w:rPr>
                <w:rFonts w:hint="default" w:ascii="Times New Roman" w:hAnsi="Times New Roman" w:cs="Times New Roman" w:eastAsiaTheme="minorEastAsia"/>
                <w:color w:val="auto"/>
                <w:sz w:val="18"/>
                <w:szCs w:val="18"/>
              </w:rPr>
              <w:t>″，N28°</w:t>
            </w:r>
            <w:r>
              <w:rPr>
                <w:rFonts w:hint="eastAsia" w:cs="Times New Roman" w:eastAsiaTheme="minorEastAsia"/>
                <w:color w:val="auto"/>
                <w:sz w:val="18"/>
                <w:szCs w:val="18"/>
                <w:lang w:val="en-US" w:eastAsia="zh-CN"/>
              </w:rPr>
              <w:t>33</w:t>
            </w:r>
            <w:r>
              <w:rPr>
                <w:rFonts w:hint="default" w:ascii="Times New Roman" w:hAnsi="Times New Roman" w:cs="Times New Roman" w:eastAsiaTheme="minorEastAsia"/>
                <w:color w:val="auto"/>
                <w:sz w:val="18"/>
                <w:szCs w:val="18"/>
              </w:rPr>
              <w:t>′</w:t>
            </w:r>
            <w:r>
              <w:rPr>
                <w:rFonts w:hint="eastAsia" w:cs="Times New Roman" w:eastAsiaTheme="minorEastAsia"/>
                <w:color w:val="auto"/>
                <w:sz w:val="18"/>
                <w:szCs w:val="18"/>
                <w:lang w:val="en-US" w:eastAsia="zh-CN"/>
              </w:rPr>
              <w:t>8.418</w:t>
            </w:r>
            <w:r>
              <w:rPr>
                <w:rFonts w:hint="default" w:ascii="Times New Roman" w:hAnsi="Times New Roman" w:cs="Times New Roman" w:eastAsiaTheme="minorEastAsia"/>
                <w:color w:val="auto"/>
                <w:sz w:val="18"/>
                <w:szCs w:val="18"/>
              </w:rPr>
              <w:t>″</w:t>
            </w:r>
          </w:p>
        </w:tc>
      </w:tr>
      <w:tr w14:paraId="157D15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6D524B6C">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1F570B82">
            <w:pPr>
              <w:adjustRightInd w:val="0"/>
              <w:snapToGrid w:val="0"/>
              <w:jc w:val="center"/>
              <w:rPr>
                <w:rFonts w:eastAsiaTheme="minorEastAsia"/>
                <w:color w:val="auto"/>
                <w:sz w:val="18"/>
                <w:szCs w:val="18"/>
              </w:rPr>
            </w:pPr>
            <w:r>
              <w:rPr>
                <w:rFonts w:eastAsiaTheme="minorEastAsia"/>
                <w:b/>
                <w:color w:val="auto"/>
                <w:sz w:val="18"/>
                <w:szCs w:val="18"/>
              </w:rPr>
              <w:t>设计</w:t>
            </w:r>
            <w:r>
              <w:rPr>
                <w:rFonts w:hint="eastAsia" w:eastAsiaTheme="minorEastAsia"/>
                <w:b/>
                <w:color w:val="auto"/>
                <w:sz w:val="18"/>
                <w:szCs w:val="18"/>
              </w:rPr>
              <w:t>生产</w:t>
            </w:r>
            <w:r>
              <w:rPr>
                <w:rFonts w:eastAsiaTheme="minorEastAsia"/>
                <w:b/>
                <w:color w:val="auto"/>
                <w:sz w:val="18"/>
                <w:szCs w:val="18"/>
              </w:rPr>
              <w:t>能力</w:t>
            </w:r>
          </w:p>
        </w:tc>
        <w:tc>
          <w:tcPr>
            <w:tcW w:w="1516" w:type="pct"/>
            <w:gridSpan w:val="6"/>
            <w:tcMar>
              <w:left w:w="57" w:type="dxa"/>
              <w:right w:w="57" w:type="dxa"/>
            </w:tcMar>
            <w:vAlign w:val="center"/>
          </w:tcPr>
          <w:p w14:paraId="499A3BF7">
            <w:pPr>
              <w:adjustRightInd w:val="0"/>
              <w:snapToGrid w:val="0"/>
              <w:jc w:val="center"/>
              <w:rPr>
                <w:rFonts w:hint="default" w:eastAsiaTheme="minorEastAsia"/>
                <w:color w:val="auto"/>
                <w:sz w:val="18"/>
                <w:szCs w:val="18"/>
                <w:lang w:val="en-US"/>
              </w:rPr>
            </w:pPr>
            <w:r>
              <w:rPr>
                <w:rFonts w:hint="default" w:eastAsiaTheme="minorEastAsia"/>
                <w:color w:val="auto"/>
                <w:sz w:val="18"/>
                <w:szCs w:val="18"/>
                <w:lang w:val="en-US" w:eastAsia="zh-CN"/>
              </w:rPr>
              <w:t>年产20万吨螺旋管50万</w:t>
            </w:r>
            <w:r>
              <w:rPr>
                <w:rFonts w:hint="eastAsia" w:eastAsiaTheme="minorEastAsia"/>
                <w:color w:val="auto"/>
                <w:sz w:val="18"/>
                <w:szCs w:val="18"/>
                <w:lang w:val="en-US" w:eastAsia="zh-CN"/>
              </w:rPr>
              <w:t>m</w:t>
            </w:r>
            <w:r>
              <w:rPr>
                <w:rFonts w:hint="eastAsia" w:eastAsiaTheme="minorEastAsia"/>
                <w:color w:val="auto"/>
                <w:sz w:val="18"/>
                <w:szCs w:val="18"/>
                <w:vertAlign w:val="superscript"/>
                <w:lang w:val="en-US" w:eastAsia="zh-CN"/>
              </w:rPr>
              <w:t>2</w:t>
            </w:r>
            <w:r>
              <w:rPr>
                <w:rFonts w:hint="default" w:eastAsiaTheme="minorEastAsia"/>
                <w:color w:val="auto"/>
                <w:sz w:val="18"/>
                <w:szCs w:val="18"/>
                <w:lang w:val="en-US" w:eastAsia="zh-CN"/>
              </w:rPr>
              <w:t>涂塑</w:t>
            </w:r>
          </w:p>
        </w:tc>
        <w:tc>
          <w:tcPr>
            <w:tcW w:w="564" w:type="pct"/>
            <w:gridSpan w:val="2"/>
            <w:tcMar>
              <w:left w:w="57" w:type="dxa"/>
              <w:right w:w="57" w:type="dxa"/>
            </w:tcMar>
            <w:vAlign w:val="center"/>
          </w:tcPr>
          <w:p w14:paraId="642FCEB8">
            <w:pPr>
              <w:adjustRightInd w:val="0"/>
              <w:snapToGrid w:val="0"/>
              <w:jc w:val="center"/>
              <w:rPr>
                <w:rFonts w:eastAsiaTheme="minorEastAsia"/>
                <w:color w:val="auto"/>
                <w:sz w:val="18"/>
                <w:szCs w:val="18"/>
              </w:rPr>
            </w:pPr>
            <w:r>
              <w:rPr>
                <w:rFonts w:eastAsiaTheme="minorEastAsia"/>
                <w:b/>
                <w:color w:val="auto"/>
                <w:sz w:val="18"/>
                <w:szCs w:val="18"/>
              </w:rPr>
              <w:t>实际</w:t>
            </w:r>
            <w:r>
              <w:rPr>
                <w:rFonts w:hint="eastAsia" w:eastAsiaTheme="minorEastAsia"/>
                <w:b/>
                <w:color w:val="auto"/>
                <w:sz w:val="18"/>
                <w:szCs w:val="18"/>
              </w:rPr>
              <w:t>生产</w:t>
            </w:r>
            <w:r>
              <w:rPr>
                <w:rFonts w:eastAsiaTheme="minorEastAsia"/>
                <w:b/>
                <w:color w:val="auto"/>
                <w:sz w:val="18"/>
                <w:szCs w:val="18"/>
              </w:rPr>
              <w:t>能力</w:t>
            </w:r>
          </w:p>
        </w:tc>
        <w:tc>
          <w:tcPr>
            <w:tcW w:w="861" w:type="pct"/>
            <w:gridSpan w:val="2"/>
            <w:tcMar>
              <w:left w:w="57" w:type="dxa"/>
              <w:right w:w="57" w:type="dxa"/>
            </w:tcMar>
            <w:vAlign w:val="center"/>
          </w:tcPr>
          <w:p w14:paraId="7094B941">
            <w:pPr>
              <w:adjustRightInd w:val="0"/>
              <w:snapToGrid w:val="0"/>
              <w:ind w:left="-105" w:leftChars="-50" w:right="-105" w:rightChars="-50"/>
              <w:jc w:val="center"/>
              <w:rPr>
                <w:rFonts w:eastAsiaTheme="minorEastAsia"/>
                <w:color w:val="auto"/>
                <w:sz w:val="18"/>
                <w:szCs w:val="18"/>
              </w:rPr>
            </w:pPr>
            <w:r>
              <w:rPr>
                <w:rFonts w:hint="default" w:eastAsiaTheme="minorEastAsia"/>
                <w:color w:val="auto"/>
                <w:sz w:val="18"/>
                <w:szCs w:val="18"/>
                <w:lang w:val="en-US" w:eastAsia="zh-CN"/>
              </w:rPr>
              <w:t>年产20万吨螺旋管</w:t>
            </w:r>
            <w:r>
              <w:rPr>
                <w:rFonts w:hint="eastAsia" w:eastAsiaTheme="minorEastAsia"/>
                <w:color w:val="auto"/>
                <w:sz w:val="18"/>
                <w:szCs w:val="18"/>
                <w:lang w:val="en-US" w:eastAsia="zh-CN"/>
              </w:rPr>
              <w:t>47.6</w:t>
            </w:r>
            <w:r>
              <w:rPr>
                <w:rFonts w:hint="default" w:eastAsiaTheme="minorEastAsia"/>
                <w:color w:val="auto"/>
                <w:sz w:val="18"/>
                <w:szCs w:val="18"/>
                <w:lang w:val="en-US" w:eastAsia="zh-CN"/>
              </w:rPr>
              <w:t>万</w:t>
            </w:r>
            <w:r>
              <w:rPr>
                <w:rFonts w:hint="eastAsia" w:eastAsiaTheme="minorEastAsia"/>
                <w:color w:val="auto"/>
                <w:sz w:val="18"/>
                <w:szCs w:val="18"/>
                <w:lang w:val="en-US" w:eastAsia="zh-CN"/>
              </w:rPr>
              <w:t>m</w:t>
            </w:r>
            <w:r>
              <w:rPr>
                <w:rFonts w:hint="eastAsia" w:eastAsiaTheme="minorEastAsia"/>
                <w:color w:val="auto"/>
                <w:sz w:val="18"/>
                <w:szCs w:val="18"/>
                <w:vertAlign w:val="superscript"/>
                <w:lang w:val="en-US" w:eastAsia="zh-CN"/>
              </w:rPr>
              <w:t>2</w:t>
            </w:r>
            <w:r>
              <w:rPr>
                <w:rFonts w:hint="default" w:eastAsiaTheme="minorEastAsia"/>
                <w:color w:val="auto"/>
                <w:sz w:val="18"/>
                <w:szCs w:val="18"/>
                <w:lang w:val="en-US" w:eastAsia="zh-CN"/>
              </w:rPr>
              <w:t>涂塑</w:t>
            </w:r>
          </w:p>
        </w:tc>
        <w:tc>
          <w:tcPr>
            <w:tcW w:w="488" w:type="pct"/>
            <w:gridSpan w:val="2"/>
            <w:tcMar>
              <w:left w:w="57" w:type="dxa"/>
              <w:right w:w="57" w:type="dxa"/>
            </w:tcMar>
            <w:vAlign w:val="center"/>
          </w:tcPr>
          <w:p w14:paraId="135D8F31">
            <w:pPr>
              <w:adjustRightInd w:val="0"/>
              <w:snapToGrid w:val="0"/>
              <w:jc w:val="center"/>
              <w:rPr>
                <w:rFonts w:eastAsiaTheme="minorEastAsia"/>
                <w:color w:val="auto"/>
                <w:sz w:val="18"/>
                <w:szCs w:val="18"/>
              </w:rPr>
            </w:pPr>
            <w:r>
              <w:rPr>
                <w:rFonts w:eastAsiaTheme="minorEastAsia"/>
                <w:b/>
                <w:color w:val="auto"/>
                <w:sz w:val="18"/>
                <w:szCs w:val="18"/>
              </w:rPr>
              <w:t>环评单位</w:t>
            </w:r>
          </w:p>
        </w:tc>
        <w:tc>
          <w:tcPr>
            <w:tcW w:w="873" w:type="pct"/>
            <w:gridSpan w:val="4"/>
            <w:tcMar>
              <w:left w:w="57" w:type="dxa"/>
              <w:right w:w="57" w:type="dxa"/>
            </w:tcMar>
            <w:vAlign w:val="center"/>
          </w:tcPr>
          <w:p w14:paraId="5678FED5">
            <w:pPr>
              <w:adjustRightInd w:val="0"/>
              <w:snapToGrid w:val="0"/>
              <w:jc w:val="center"/>
              <w:rPr>
                <w:rFonts w:hint="eastAsia" w:eastAsiaTheme="minorEastAsia"/>
                <w:color w:val="auto"/>
                <w:sz w:val="18"/>
                <w:szCs w:val="18"/>
                <w:lang w:eastAsia="zh-CN"/>
              </w:rPr>
            </w:pPr>
            <w:r>
              <w:rPr>
                <w:rFonts w:hint="eastAsia" w:eastAsiaTheme="minorEastAsia"/>
                <w:color w:val="auto"/>
                <w:sz w:val="18"/>
                <w:szCs w:val="18"/>
                <w:lang w:eastAsia="zh-CN"/>
              </w:rPr>
              <w:t>新创环保技术服务有限公司</w:t>
            </w:r>
          </w:p>
        </w:tc>
      </w:tr>
      <w:tr w14:paraId="7D795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7E3A68AE">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12E4B7AC">
            <w:pPr>
              <w:adjustRightInd w:val="0"/>
              <w:snapToGrid w:val="0"/>
              <w:jc w:val="center"/>
              <w:rPr>
                <w:rFonts w:eastAsiaTheme="minorEastAsia"/>
                <w:color w:val="auto"/>
                <w:sz w:val="18"/>
                <w:szCs w:val="18"/>
              </w:rPr>
            </w:pPr>
            <w:r>
              <w:rPr>
                <w:rFonts w:eastAsiaTheme="minorEastAsia"/>
                <w:b/>
                <w:color w:val="auto"/>
                <w:sz w:val="18"/>
                <w:szCs w:val="18"/>
              </w:rPr>
              <w:t>环评文件审批机关</w:t>
            </w:r>
          </w:p>
        </w:tc>
        <w:tc>
          <w:tcPr>
            <w:tcW w:w="1516" w:type="pct"/>
            <w:gridSpan w:val="6"/>
            <w:tcMar>
              <w:left w:w="57" w:type="dxa"/>
              <w:right w:w="57" w:type="dxa"/>
            </w:tcMar>
            <w:vAlign w:val="center"/>
          </w:tcPr>
          <w:p w14:paraId="58074254">
            <w:pPr>
              <w:adjustRightInd w:val="0"/>
              <w:snapToGrid w:val="0"/>
              <w:jc w:val="center"/>
              <w:rPr>
                <w:rFonts w:eastAsiaTheme="minorEastAsia"/>
                <w:color w:val="auto"/>
                <w:sz w:val="18"/>
                <w:szCs w:val="18"/>
              </w:rPr>
            </w:pPr>
            <w:r>
              <w:rPr>
                <w:rFonts w:hint="eastAsia" w:eastAsiaTheme="minorEastAsia"/>
                <w:color w:val="auto"/>
                <w:sz w:val="18"/>
                <w:szCs w:val="18"/>
                <w:lang w:eastAsia="zh-CN"/>
              </w:rPr>
              <w:t>南昌市南昌生态环境局</w:t>
            </w:r>
          </w:p>
        </w:tc>
        <w:tc>
          <w:tcPr>
            <w:tcW w:w="564" w:type="pct"/>
            <w:gridSpan w:val="2"/>
            <w:tcMar>
              <w:left w:w="57" w:type="dxa"/>
              <w:right w:w="57" w:type="dxa"/>
            </w:tcMar>
            <w:vAlign w:val="center"/>
          </w:tcPr>
          <w:p w14:paraId="7E6CDA31">
            <w:pPr>
              <w:adjustRightInd w:val="0"/>
              <w:snapToGrid w:val="0"/>
              <w:jc w:val="center"/>
              <w:rPr>
                <w:rFonts w:eastAsiaTheme="minorEastAsia"/>
                <w:b/>
                <w:color w:val="auto"/>
                <w:sz w:val="18"/>
                <w:szCs w:val="18"/>
              </w:rPr>
            </w:pPr>
            <w:r>
              <w:rPr>
                <w:rFonts w:eastAsiaTheme="minorEastAsia"/>
                <w:b/>
                <w:color w:val="auto"/>
                <w:sz w:val="18"/>
                <w:szCs w:val="18"/>
              </w:rPr>
              <w:t>审批文号</w:t>
            </w:r>
          </w:p>
        </w:tc>
        <w:tc>
          <w:tcPr>
            <w:tcW w:w="861" w:type="pct"/>
            <w:gridSpan w:val="2"/>
            <w:tcMar>
              <w:left w:w="57" w:type="dxa"/>
              <w:right w:w="57" w:type="dxa"/>
            </w:tcMar>
            <w:vAlign w:val="center"/>
          </w:tcPr>
          <w:p w14:paraId="2D1AA1F3">
            <w:pPr>
              <w:adjustRightInd w:val="0"/>
              <w:snapToGrid w:val="0"/>
              <w:jc w:val="center"/>
              <w:rPr>
                <w:rFonts w:eastAsiaTheme="minorEastAsia"/>
                <w:color w:val="auto"/>
                <w:sz w:val="18"/>
                <w:szCs w:val="18"/>
              </w:rPr>
            </w:pPr>
            <w:r>
              <w:rPr>
                <w:rFonts w:hint="eastAsia" w:eastAsiaTheme="minorEastAsia"/>
                <w:color w:val="auto"/>
                <w:sz w:val="18"/>
                <w:szCs w:val="18"/>
                <w:lang w:eastAsia="zh-CN"/>
              </w:rPr>
              <w:t>南环评字〔202</w:t>
            </w:r>
            <w:r>
              <w:rPr>
                <w:rFonts w:hint="eastAsia" w:eastAsiaTheme="minorEastAsia"/>
                <w:color w:val="auto"/>
                <w:sz w:val="18"/>
                <w:szCs w:val="18"/>
                <w:lang w:val="en-US" w:eastAsia="zh-CN"/>
              </w:rPr>
              <w:t>4</w:t>
            </w:r>
            <w:r>
              <w:rPr>
                <w:rFonts w:hint="eastAsia" w:eastAsiaTheme="minorEastAsia"/>
                <w:color w:val="auto"/>
                <w:sz w:val="18"/>
                <w:szCs w:val="18"/>
                <w:lang w:eastAsia="zh-CN"/>
              </w:rPr>
              <w:t>〕</w:t>
            </w:r>
            <w:r>
              <w:rPr>
                <w:rFonts w:hint="eastAsia" w:eastAsiaTheme="minorEastAsia"/>
                <w:color w:val="auto"/>
                <w:sz w:val="18"/>
                <w:szCs w:val="18"/>
                <w:lang w:val="en-US" w:eastAsia="zh-CN"/>
              </w:rPr>
              <w:t>18</w:t>
            </w:r>
            <w:r>
              <w:rPr>
                <w:rFonts w:hint="eastAsia" w:eastAsiaTheme="minorEastAsia"/>
                <w:color w:val="auto"/>
                <w:sz w:val="18"/>
                <w:szCs w:val="18"/>
                <w:lang w:eastAsia="zh-CN"/>
              </w:rPr>
              <w:t>号</w:t>
            </w:r>
          </w:p>
        </w:tc>
        <w:tc>
          <w:tcPr>
            <w:tcW w:w="488" w:type="pct"/>
            <w:gridSpan w:val="2"/>
            <w:tcMar>
              <w:left w:w="57" w:type="dxa"/>
              <w:right w:w="57" w:type="dxa"/>
            </w:tcMar>
            <w:vAlign w:val="center"/>
          </w:tcPr>
          <w:p w14:paraId="4F38782B">
            <w:pPr>
              <w:adjustRightInd w:val="0"/>
              <w:snapToGrid w:val="0"/>
              <w:jc w:val="center"/>
              <w:rPr>
                <w:rFonts w:eastAsiaTheme="minorEastAsia"/>
                <w:b/>
                <w:color w:val="auto"/>
                <w:sz w:val="18"/>
                <w:szCs w:val="18"/>
              </w:rPr>
            </w:pPr>
            <w:r>
              <w:rPr>
                <w:rFonts w:eastAsiaTheme="minorEastAsia"/>
                <w:b/>
                <w:color w:val="auto"/>
                <w:sz w:val="18"/>
                <w:szCs w:val="18"/>
              </w:rPr>
              <w:t>环评文件类型</w:t>
            </w:r>
          </w:p>
        </w:tc>
        <w:tc>
          <w:tcPr>
            <w:tcW w:w="873" w:type="pct"/>
            <w:gridSpan w:val="4"/>
            <w:tcMar>
              <w:left w:w="57" w:type="dxa"/>
              <w:right w:w="57" w:type="dxa"/>
            </w:tcMar>
            <w:vAlign w:val="center"/>
          </w:tcPr>
          <w:p w14:paraId="7F2413A7">
            <w:pPr>
              <w:adjustRightInd w:val="0"/>
              <w:snapToGrid w:val="0"/>
              <w:jc w:val="center"/>
              <w:rPr>
                <w:rFonts w:eastAsiaTheme="minorEastAsia"/>
                <w:color w:val="auto"/>
                <w:sz w:val="18"/>
                <w:szCs w:val="18"/>
              </w:rPr>
            </w:pPr>
            <w:r>
              <w:rPr>
                <w:rFonts w:hint="eastAsia" w:eastAsiaTheme="minorEastAsia"/>
                <w:color w:val="auto"/>
                <w:sz w:val="18"/>
                <w:szCs w:val="18"/>
              </w:rPr>
              <w:t>环境影响报告表</w:t>
            </w:r>
          </w:p>
        </w:tc>
      </w:tr>
      <w:tr w14:paraId="69131C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36A41D29">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72CB05E4">
            <w:pPr>
              <w:adjustRightInd w:val="0"/>
              <w:snapToGrid w:val="0"/>
              <w:jc w:val="center"/>
              <w:rPr>
                <w:rFonts w:eastAsiaTheme="minorEastAsia"/>
                <w:color w:val="auto"/>
                <w:sz w:val="18"/>
                <w:szCs w:val="18"/>
              </w:rPr>
            </w:pPr>
            <w:r>
              <w:rPr>
                <w:rFonts w:eastAsiaTheme="minorEastAsia"/>
                <w:b/>
                <w:color w:val="auto"/>
                <w:sz w:val="18"/>
                <w:szCs w:val="18"/>
              </w:rPr>
              <w:t>开工日期</w:t>
            </w:r>
          </w:p>
        </w:tc>
        <w:tc>
          <w:tcPr>
            <w:tcW w:w="1516" w:type="pct"/>
            <w:gridSpan w:val="6"/>
            <w:tcMar>
              <w:left w:w="57" w:type="dxa"/>
              <w:right w:w="57" w:type="dxa"/>
            </w:tcMar>
            <w:vAlign w:val="center"/>
          </w:tcPr>
          <w:p w14:paraId="65F61C33">
            <w:pPr>
              <w:adjustRightInd w:val="0"/>
              <w:snapToGrid w:val="0"/>
              <w:jc w:val="center"/>
              <w:rPr>
                <w:rFonts w:eastAsiaTheme="minorEastAsia"/>
                <w:color w:val="auto"/>
                <w:sz w:val="18"/>
                <w:szCs w:val="18"/>
              </w:rPr>
            </w:pPr>
            <w:r>
              <w:rPr>
                <w:rFonts w:hint="eastAsia" w:eastAsiaTheme="minorEastAsia"/>
                <w:color w:val="auto"/>
                <w:sz w:val="18"/>
                <w:szCs w:val="18"/>
              </w:rPr>
              <w:t>202</w:t>
            </w:r>
            <w:r>
              <w:rPr>
                <w:rFonts w:hint="eastAsia" w:eastAsiaTheme="minorEastAsia"/>
                <w:color w:val="auto"/>
                <w:sz w:val="18"/>
                <w:szCs w:val="18"/>
                <w:lang w:val="en-US" w:eastAsia="zh-CN"/>
              </w:rPr>
              <w:t>4</w:t>
            </w:r>
            <w:r>
              <w:rPr>
                <w:rFonts w:hint="eastAsia" w:eastAsiaTheme="minorEastAsia"/>
                <w:color w:val="auto"/>
                <w:sz w:val="18"/>
                <w:szCs w:val="18"/>
              </w:rPr>
              <w:t>年</w:t>
            </w:r>
            <w:r>
              <w:rPr>
                <w:rFonts w:hint="eastAsia" w:eastAsiaTheme="minorEastAsia"/>
                <w:color w:val="auto"/>
                <w:sz w:val="18"/>
                <w:szCs w:val="18"/>
                <w:lang w:val="en-US" w:eastAsia="zh-CN"/>
              </w:rPr>
              <w:t>7</w:t>
            </w:r>
            <w:r>
              <w:rPr>
                <w:rFonts w:hint="eastAsia" w:eastAsiaTheme="minorEastAsia"/>
                <w:color w:val="auto"/>
                <w:sz w:val="18"/>
                <w:szCs w:val="18"/>
              </w:rPr>
              <w:t>月</w:t>
            </w:r>
          </w:p>
        </w:tc>
        <w:tc>
          <w:tcPr>
            <w:tcW w:w="564" w:type="pct"/>
            <w:gridSpan w:val="2"/>
            <w:tcMar>
              <w:left w:w="57" w:type="dxa"/>
              <w:right w:w="57" w:type="dxa"/>
            </w:tcMar>
            <w:vAlign w:val="center"/>
          </w:tcPr>
          <w:p w14:paraId="386BBD8F">
            <w:pPr>
              <w:adjustRightInd w:val="0"/>
              <w:snapToGrid w:val="0"/>
              <w:jc w:val="center"/>
              <w:rPr>
                <w:rFonts w:eastAsiaTheme="minorEastAsia"/>
                <w:b/>
                <w:color w:val="auto"/>
                <w:sz w:val="18"/>
                <w:szCs w:val="18"/>
              </w:rPr>
            </w:pPr>
            <w:r>
              <w:rPr>
                <w:rFonts w:eastAsiaTheme="minorEastAsia"/>
                <w:b/>
                <w:color w:val="auto"/>
                <w:sz w:val="18"/>
                <w:szCs w:val="18"/>
              </w:rPr>
              <w:t>竣工日期</w:t>
            </w:r>
          </w:p>
        </w:tc>
        <w:tc>
          <w:tcPr>
            <w:tcW w:w="861" w:type="pct"/>
            <w:gridSpan w:val="2"/>
            <w:tcMar>
              <w:left w:w="57" w:type="dxa"/>
              <w:right w:w="57" w:type="dxa"/>
            </w:tcMar>
            <w:vAlign w:val="center"/>
          </w:tcPr>
          <w:p w14:paraId="066A5520">
            <w:pPr>
              <w:adjustRightInd w:val="0"/>
              <w:snapToGrid w:val="0"/>
              <w:jc w:val="center"/>
              <w:rPr>
                <w:rFonts w:eastAsiaTheme="minorEastAsia"/>
                <w:color w:val="auto"/>
                <w:sz w:val="18"/>
                <w:szCs w:val="18"/>
              </w:rPr>
            </w:pPr>
            <w:r>
              <w:rPr>
                <w:rFonts w:hint="eastAsia" w:eastAsiaTheme="minorEastAsia"/>
                <w:color w:val="auto"/>
                <w:sz w:val="18"/>
                <w:szCs w:val="18"/>
              </w:rPr>
              <w:t>202</w:t>
            </w:r>
            <w:r>
              <w:rPr>
                <w:rFonts w:hint="eastAsia" w:eastAsiaTheme="minorEastAsia"/>
                <w:color w:val="auto"/>
                <w:sz w:val="18"/>
                <w:szCs w:val="18"/>
                <w:lang w:val="en-US" w:eastAsia="zh-CN"/>
              </w:rPr>
              <w:t>5</w:t>
            </w:r>
            <w:r>
              <w:rPr>
                <w:rFonts w:hint="eastAsia" w:eastAsiaTheme="minorEastAsia"/>
                <w:color w:val="auto"/>
                <w:sz w:val="18"/>
                <w:szCs w:val="18"/>
              </w:rPr>
              <w:t>年</w:t>
            </w:r>
            <w:r>
              <w:rPr>
                <w:rFonts w:hint="eastAsia" w:eastAsiaTheme="minorEastAsia"/>
                <w:color w:val="auto"/>
                <w:sz w:val="18"/>
                <w:szCs w:val="18"/>
                <w:lang w:val="en-US" w:eastAsia="zh-CN"/>
              </w:rPr>
              <w:t>7</w:t>
            </w:r>
            <w:r>
              <w:rPr>
                <w:rFonts w:hint="eastAsia" w:eastAsiaTheme="minorEastAsia"/>
                <w:color w:val="auto"/>
                <w:sz w:val="18"/>
                <w:szCs w:val="18"/>
              </w:rPr>
              <w:t>月</w:t>
            </w:r>
          </w:p>
        </w:tc>
        <w:tc>
          <w:tcPr>
            <w:tcW w:w="488" w:type="pct"/>
            <w:gridSpan w:val="2"/>
            <w:tcMar>
              <w:left w:w="57" w:type="dxa"/>
              <w:right w:w="57" w:type="dxa"/>
            </w:tcMar>
            <w:vAlign w:val="center"/>
          </w:tcPr>
          <w:p w14:paraId="3E72B19E">
            <w:pPr>
              <w:adjustRightInd w:val="0"/>
              <w:snapToGrid w:val="0"/>
              <w:jc w:val="center"/>
              <w:rPr>
                <w:rFonts w:eastAsiaTheme="minorEastAsia"/>
                <w:b/>
                <w:color w:val="auto"/>
                <w:sz w:val="18"/>
                <w:szCs w:val="18"/>
              </w:rPr>
            </w:pPr>
            <w:r>
              <w:rPr>
                <w:rFonts w:eastAsiaTheme="minorEastAsia"/>
                <w:b/>
                <w:color w:val="auto"/>
                <w:sz w:val="18"/>
                <w:szCs w:val="18"/>
              </w:rPr>
              <w:t>排污许可证</w:t>
            </w:r>
          </w:p>
          <w:p w14:paraId="4DF51167">
            <w:pPr>
              <w:adjustRightInd w:val="0"/>
              <w:snapToGrid w:val="0"/>
              <w:jc w:val="center"/>
              <w:rPr>
                <w:color w:val="auto"/>
              </w:rPr>
            </w:pPr>
            <w:r>
              <w:rPr>
                <w:rFonts w:eastAsiaTheme="minorEastAsia"/>
                <w:b/>
                <w:color w:val="auto"/>
                <w:sz w:val="18"/>
                <w:szCs w:val="18"/>
              </w:rPr>
              <w:t>申领时间</w:t>
            </w:r>
          </w:p>
        </w:tc>
        <w:tc>
          <w:tcPr>
            <w:tcW w:w="873" w:type="pct"/>
            <w:gridSpan w:val="4"/>
            <w:tcMar>
              <w:left w:w="57" w:type="dxa"/>
              <w:right w:w="57" w:type="dxa"/>
            </w:tcMar>
            <w:vAlign w:val="center"/>
          </w:tcPr>
          <w:p w14:paraId="508F0D35">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2026年06月18日</w:t>
            </w:r>
          </w:p>
        </w:tc>
      </w:tr>
      <w:tr w14:paraId="22CA2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1B61BB21">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0CA058EB">
            <w:pPr>
              <w:adjustRightInd w:val="0"/>
              <w:snapToGrid w:val="0"/>
              <w:jc w:val="center"/>
              <w:rPr>
                <w:rFonts w:eastAsiaTheme="minorEastAsia"/>
                <w:color w:val="auto"/>
                <w:sz w:val="18"/>
                <w:szCs w:val="18"/>
              </w:rPr>
            </w:pPr>
            <w:r>
              <w:rPr>
                <w:rFonts w:eastAsiaTheme="minorEastAsia"/>
                <w:b/>
                <w:color w:val="auto"/>
                <w:sz w:val="18"/>
                <w:szCs w:val="18"/>
              </w:rPr>
              <w:t>环保设施设计单位</w:t>
            </w:r>
          </w:p>
        </w:tc>
        <w:tc>
          <w:tcPr>
            <w:tcW w:w="1516" w:type="pct"/>
            <w:gridSpan w:val="6"/>
            <w:tcMar>
              <w:left w:w="57" w:type="dxa"/>
              <w:right w:w="57" w:type="dxa"/>
            </w:tcMar>
            <w:vAlign w:val="center"/>
          </w:tcPr>
          <w:p w14:paraId="4B1E4A33">
            <w:pPr>
              <w:adjustRightInd w:val="0"/>
              <w:snapToGrid w:val="0"/>
              <w:jc w:val="center"/>
              <w:rPr>
                <w:rFonts w:eastAsiaTheme="minorEastAsia"/>
                <w:color w:val="auto"/>
                <w:sz w:val="18"/>
                <w:szCs w:val="18"/>
              </w:rPr>
            </w:pPr>
            <w:r>
              <w:rPr>
                <w:rFonts w:hint="eastAsia" w:eastAsiaTheme="minorEastAsia"/>
                <w:color w:val="auto"/>
                <w:sz w:val="18"/>
                <w:szCs w:val="18"/>
                <w:lang w:val="en-US" w:eastAsia="zh-CN"/>
              </w:rPr>
              <w:t>/</w:t>
            </w:r>
          </w:p>
        </w:tc>
        <w:tc>
          <w:tcPr>
            <w:tcW w:w="564" w:type="pct"/>
            <w:gridSpan w:val="2"/>
            <w:tcMar>
              <w:left w:w="57" w:type="dxa"/>
              <w:right w:w="57" w:type="dxa"/>
            </w:tcMar>
            <w:vAlign w:val="center"/>
          </w:tcPr>
          <w:p w14:paraId="3AC75721">
            <w:pPr>
              <w:adjustRightInd w:val="0"/>
              <w:snapToGrid w:val="0"/>
              <w:jc w:val="center"/>
              <w:rPr>
                <w:rFonts w:eastAsiaTheme="minorEastAsia"/>
                <w:b/>
                <w:color w:val="auto"/>
                <w:sz w:val="18"/>
                <w:szCs w:val="18"/>
              </w:rPr>
            </w:pPr>
            <w:r>
              <w:rPr>
                <w:rFonts w:eastAsiaTheme="minorEastAsia"/>
                <w:b/>
                <w:color w:val="auto"/>
                <w:sz w:val="18"/>
                <w:szCs w:val="18"/>
              </w:rPr>
              <w:t>环保设施施工单位</w:t>
            </w:r>
          </w:p>
        </w:tc>
        <w:tc>
          <w:tcPr>
            <w:tcW w:w="861" w:type="pct"/>
            <w:gridSpan w:val="2"/>
            <w:tcMar>
              <w:left w:w="57" w:type="dxa"/>
              <w:right w:w="57" w:type="dxa"/>
            </w:tcMar>
            <w:vAlign w:val="center"/>
          </w:tcPr>
          <w:p w14:paraId="46F65CF9">
            <w:pPr>
              <w:adjustRightInd w:val="0"/>
              <w:snapToGrid w:val="0"/>
              <w:jc w:val="center"/>
              <w:rPr>
                <w:rFonts w:eastAsiaTheme="minorEastAsia"/>
                <w:color w:val="auto"/>
                <w:sz w:val="18"/>
                <w:szCs w:val="18"/>
              </w:rPr>
            </w:pPr>
            <w:r>
              <w:rPr>
                <w:rFonts w:hint="eastAsia" w:eastAsiaTheme="minorEastAsia"/>
                <w:color w:val="auto"/>
                <w:sz w:val="18"/>
                <w:szCs w:val="18"/>
                <w:lang w:val="en-US" w:eastAsia="zh-CN"/>
              </w:rPr>
              <w:t>/</w:t>
            </w:r>
          </w:p>
        </w:tc>
        <w:tc>
          <w:tcPr>
            <w:tcW w:w="488" w:type="pct"/>
            <w:gridSpan w:val="2"/>
            <w:tcMar>
              <w:left w:w="57" w:type="dxa"/>
              <w:right w:w="57" w:type="dxa"/>
            </w:tcMar>
            <w:vAlign w:val="center"/>
          </w:tcPr>
          <w:p w14:paraId="0DFE27D0">
            <w:pPr>
              <w:adjustRightInd w:val="0"/>
              <w:snapToGrid w:val="0"/>
              <w:jc w:val="center"/>
              <w:rPr>
                <w:rFonts w:eastAsiaTheme="minorEastAsia"/>
                <w:b/>
                <w:color w:val="auto"/>
                <w:sz w:val="18"/>
                <w:szCs w:val="18"/>
              </w:rPr>
            </w:pPr>
            <w:r>
              <w:rPr>
                <w:rFonts w:eastAsiaTheme="minorEastAsia"/>
                <w:b/>
                <w:color w:val="auto"/>
                <w:sz w:val="18"/>
                <w:szCs w:val="18"/>
              </w:rPr>
              <w:t>本工程</w:t>
            </w:r>
          </w:p>
          <w:p w14:paraId="4BF3C7F1">
            <w:pPr>
              <w:adjustRightInd w:val="0"/>
              <w:snapToGrid w:val="0"/>
              <w:jc w:val="center"/>
              <w:rPr>
                <w:color w:val="auto"/>
              </w:rPr>
            </w:pPr>
            <w:r>
              <w:rPr>
                <w:rFonts w:eastAsiaTheme="minorEastAsia"/>
                <w:b/>
                <w:color w:val="auto"/>
                <w:sz w:val="18"/>
                <w:szCs w:val="18"/>
              </w:rPr>
              <w:t>排污许可证编号</w:t>
            </w:r>
          </w:p>
        </w:tc>
        <w:tc>
          <w:tcPr>
            <w:tcW w:w="873" w:type="pct"/>
            <w:gridSpan w:val="4"/>
            <w:tcMar>
              <w:left w:w="57" w:type="dxa"/>
              <w:right w:w="57" w:type="dxa"/>
            </w:tcMar>
            <w:vAlign w:val="center"/>
          </w:tcPr>
          <w:p w14:paraId="1EEE5988">
            <w:pPr>
              <w:adjustRightInd w:val="0"/>
              <w:snapToGrid w:val="0"/>
              <w:jc w:val="center"/>
              <w:rPr>
                <w:rFonts w:hint="eastAsia" w:eastAsiaTheme="minorEastAsia"/>
                <w:color w:val="auto"/>
                <w:sz w:val="18"/>
                <w:szCs w:val="18"/>
                <w:lang w:eastAsia="zh-CN"/>
              </w:rPr>
            </w:pPr>
            <w:r>
              <w:rPr>
                <w:rFonts w:hint="eastAsia" w:eastAsiaTheme="minorEastAsia"/>
                <w:color w:val="auto"/>
                <w:sz w:val="18"/>
                <w:szCs w:val="18"/>
                <w:lang w:eastAsia="zh-CN"/>
              </w:rPr>
              <w:t>91360121MAD5Y73N7U001Z</w:t>
            </w:r>
          </w:p>
        </w:tc>
      </w:tr>
      <w:tr w14:paraId="2517F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247F9B09">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0FBF5E28">
            <w:pPr>
              <w:adjustRightInd w:val="0"/>
              <w:snapToGrid w:val="0"/>
              <w:jc w:val="center"/>
              <w:rPr>
                <w:rFonts w:eastAsiaTheme="minorEastAsia"/>
                <w:color w:val="auto"/>
                <w:sz w:val="18"/>
                <w:szCs w:val="18"/>
              </w:rPr>
            </w:pPr>
            <w:r>
              <w:rPr>
                <w:rFonts w:eastAsiaTheme="minorEastAsia"/>
                <w:b/>
                <w:color w:val="auto"/>
                <w:sz w:val="18"/>
                <w:szCs w:val="18"/>
              </w:rPr>
              <w:t>验收单位</w:t>
            </w:r>
          </w:p>
        </w:tc>
        <w:tc>
          <w:tcPr>
            <w:tcW w:w="1516" w:type="pct"/>
            <w:gridSpan w:val="6"/>
            <w:tcMar>
              <w:left w:w="57" w:type="dxa"/>
              <w:right w:w="57" w:type="dxa"/>
            </w:tcMar>
            <w:vAlign w:val="center"/>
          </w:tcPr>
          <w:p w14:paraId="34F2FBE6">
            <w:pPr>
              <w:adjustRightInd w:val="0"/>
              <w:snapToGrid w:val="0"/>
              <w:jc w:val="center"/>
              <w:rPr>
                <w:rFonts w:hint="eastAsia" w:eastAsiaTheme="minorEastAsia"/>
                <w:color w:val="auto"/>
                <w:sz w:val="18"/>
                <w:szCs w:val="18"/>
                <w:lang w:eastAsia="zh-CN"/>
              </w:rPr>
            </w:pPr>
            <w:r>
              <w:rPr>
                <w:rFonts w:hint="eastAsia" w:eastAsiaTheme="minorEastAsia"/>
                <w:color w:val="auto"/>
                <w:sz w:val="18"/>
                <w:szCs w:val="18"/>
                <w:lang w:eastAsia="zh-CN"/>
              </w:rPr>
              <w:t>南昌赣华环保技术有限公司</w:t>
            </w:r>
          </w:p>
        </w:tc>
        <w:tc>
          <w:tcPr>
            <w:tcW w:w="564" w:type="pct"/>
            <w:gridSpan w:val="2"/>
            <w:tcMar>
              <w:left w:w="57" w:type="dxa"/>
              <w:right w:w="57" w:type="dxa"/>
            </w:tcMar>
            <w:vAlign w:val="center"/>
          </w:tcPr>
          <w:p w14:paraId="664841EE">
            <w:pPr>
              <w:adjustRightInd w:val="0"/>
              <w:snapToGrid w:val="0"/>
              <w:jc w:val="center"/>
              <w:rPr>
                <w:rFonts w:eastAsiaTheme="minorEastAsia"/>
                <w:b/>
                <w:color w:val="auto"/>
                <w:sz w:val="18"/>
                <w:szCs w:val="18"/>
              </w:rPr>
            </w:pPr>
            <w:r>
              <w:rPr>
                <w:rFonts w:eastAsiaTheme="minorEastAsia"/>
                <w:b/>
                <w:color w:val="auto"/>
                <w:sz w:val="18"/>
                <w:szCs w:val="18"/>
              </w:rPr>
              <w:t>环保设施监测单位</w:t>
            </w:r>
          </w:p>
        </w:tc>
        <w:tc>
          <w:tcPr>
            <w:tcW w:w="861" w:type="pct"/>
            <w:gridSpan w:val="2"/>
            <w:tcMar>
              <w:left w:w="57" w:type="dxa"/>
              <w:right w:w="57" w:type="dxa"/>
            </w:tcMar>
            <w:vAlign w:val="center"/>
          </w:tcPr>
          <w:p w14:paraId="29A1C340">
            <w:pPr>
              <w:adjustRightInd w:val="0"/>
              <w:snapToGrid w:val="0"/>
              <w:jc w:val="center"/>
              <w:rPr>
                <w:rFonts w:hint="eastAsia" w:eastAsiaTheme="minorEastAsia"/>
                <w:color w:val="auto"/>
                <w:sz w:val="18"/>
                <w:szCs w:val="18"/>
                <w:lang w:eastAsia="zh-CN"/>
              </w:rPr>
            </w:pPr>
            <w:r>
              <w:rPr>
                <w:rFonts w:hint="eastAsia" w:eastAsiaTheme="minorEastAsia"/>
                <w:color w:val="auto"/>
                <w:sz w:val="18"/>
                <w:szCs w:val="18"/>
                <w:lang w:eastAsia="zh-CN"/>
              </w:rPr>
              <w:t>江西宏德检测技术有限公司</w:t>
            </w:r>
          </w:p>
        </w:tc>
        <w:tc>
          <w:tcPr>
            <w:tcW w:w="488" w:type="pct"/>
            <w:gridSpan w:val="2"/>
            <w:tcMar>
              <w:left w:w="57" w:type="dxa"/>
              <w:right w:w="57" w:type="dxa"/>
            </w:tcMar>
            <w:vAlign w:val="center"/>
          </w:tcPr>
          <w:p w14:paraId="4CBC8DE3">
            <w:pPr>
              <w:adjustRightInd w:val="0"/>
              <w:snapToGrid w:val="0"/>
              <w:jc w:val="center"/>
              <w:rPr>
                <w:rFonts w:eastAsiaTheme="minorEastAsia"/>
                <w:b/>
                <w:color w:val="auto"/>
                <w:sz w:val="18"/>
                <w:szCs w:val="18"/>
              </w:rPr>
            </w:pPr>
            <w:r>
              <w:rPr>
                <w:rFonts w:eastAsiaTheme="minorEastAsia"/>
                <w:b/>
                <w:color w:val="auto"/>
                <w:sz w:val="18"/>
                <w:szCs w:val="18"/>
              </w:rPr>
              <w:t>验收监测时工况</w:t>
            </w:r>
          </w:p>
        </w:tc>
        <w:tc>
          <w:tcPr>
            <w:tcW w:w="873" w:type="pct"/>
            <w:gridSpan w:val="4"/>
            <w:tcMar>
              <w:left w:w="57" w:type="dxa"/>
              <w:right w:w="57" w:type="dxa"/>
            </w:tcMar>
            <w:vAlign w:val="center"/>
          </w:tcPr>
          <w:p w14:paraId="7A1A1B6C">
            <w:pPr>
              <w:adjustRightInd w:val="0"/>
              <w:snapToGrid w:val="0"/>
              <w:jc w:val="center"/>
              <w:rPr>
                <w:rFonts w:hint="eastAsia" w:eastAsiaTheme="minorEastAsia"/>
                <w:color w:val="auto"/>
                <w:sz w:val="18"/>
                <w:szCs w:val="18"/>
                <w:lang w:eastAsia="zh-CN"/>
              </w:rPr>
            </w:pPr>
            <w:r>
              <w:rPr>
                <w:rFonts w:hint="eastAsia" w:eastAsiaTheme="minorEastAsia"/>
                <w:color w:val="auto"/>
                <w:sz w:val="18"/>
                <w:szCs w:val="18"/>
                <w:lang w:val="en-US" w:eastAsia="zh-CN"/>
              </w:rPr>
              <w:t>/</w:t>
            </w:r>
          </w:p>
        </w:tc>
      </w:tr>
      <w:tr w14:paraId="56EF5A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0D56E012">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12A63305">
            <w:pPr>
              <w:adjustRightInd w:val="0"/>
              <w:snapToGrid w:val="0"/>
              <w:jc w:val="center"/>
              <w:rPr>
                <w:rFonts w:eastAsiaTheme="minorEastAsia"/>
                <w:color w:val="auto"/>
                <w:sz w:val="18"/>
                <w:szCs w:val="18"/>
              </w:rPr>
            </w:pPr>
            <w:r>
              <w:rPr>
                <w:rFonts w:eastAsiaTheme="minorEastAsia"/>
                <w:b/>
                <w:color w:val="auto"/>
                <w:sz w:val="18"/>
                <w:szCs w:val="18"/>
              </w:rPr>
              <w:t>投资总概算（万元）</w:t>
            </w:r>
          </w:p>
        </w:tc>
        <w:tc>
          <w:tcPr>
            <w:tcW w:w="1516" w:type="pct"/>
            <w:gridSpan w:val="6"/>
            <w:tcMar>
              <w:left w:w="57" w:type="dxa"/>
              <w:right w:w="57" w:type="dxa"/>
            </w:tcMar>
            <w:vAlign w:val="center"/>
          </w:tcPr>
          <w:p w14:paraId="61CBA842">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50000</w:t>
            </w:r>
          </w:p>
        </w:tc>
        <w:tc>
          <w:tcPr>
            <w:tcW w:w="564" w:type="pct"/>
            <w:gridSpan w:val="2"/>
            <w:tcMar>
              <w:left w:w="57" w:type="dxa"/>
              <w:right w:w="57" w:type="dxa"/>
            </w:tcMar>
            <w:vAlign w:val="center"/>
          </w:tcPr>
          <w:p w14:paraId="4520CD95">
            <w:pPr>
              <w:tabs>
                <w:tab w:val="left" w:pos="690"/>
              </w:tabs>
              <w:adjustRightInd w:val="0"/>
              <w:snapToGrid w:val="0"/>
              <w:jc w:val="center"/>
              <w:rPr>
                <w:rFonts w:eastAsiaTheme="minorEastAsia"/>
                <w:b/>
                <w:color w:val="auto"/>
                <w:sz w:val="18"/>
                <w:szCs w:val="18"/>
              </w:rPr>
            </w:pPr>
            <w:r>
              <w:rPr>
                <w:rFonts w:eastAsiaTheme="minorEastAsia"/>
                <w:b/>
                <w:color w:val="auto"/>
                <w:sz w:val="18"/>
                <w:szCs w:val="18"/>
              </w:rPr>
              <w:t>环保投资</w:t>
            </w:r>
          </w:p>
          <w:p w14:paraId="58115A49">
            <w:pPr>
              <w:tabs>
                <w:tab w:val="left" w:pos="690"/>
              </w:tabs>
              <w:adjustRightInd w:val="0"/>
              <w:snapToGrid w:val="0"/>
              <w:jc w:val="center"/>
              <w:rPr>
                <w:rFonts w:eastAsiaTheme="minorEastAsia"/>
                <w:color w:val="auto"/>
                <w:sz w:val="18"/>
                <w:szCs w:val="18"/>
              </w:rPr>
            </w:pPr>
            <w:r>
              <w:rPr>
                <w:rFonts w:eastAsiaTheme="minorEastAsia"/>
                <w:b/>
                <w:color w:val="auto"/>
                <w:sz w:val="18"/>
                <w:szCs w:val="18"/>
              </w:rPr>
              <w:t>总概算（万元）</w:t>
            </w:r>
          </w:p>
        </w:tc>
        <w:tc>
          <w:tcPr>
            <w:tcW w:w="2431" w:type="dxa"/>
            <w:gridSpan w:val="2"/>
            <w:tcMar>
              <w:left w:w="57" w:type="dxa"/>
              <w:right w:w="57" w:type="dxa"/>
            </w:tcMar>
            <w:vAlign w:val="center"/>
          </w:tcPr>
          <w:p w14:paraId="5E9FB6B8">
            <w:pPr>
              <w:adjustRightInd w:val="0"/>
              <w:snapToGrid w:val="0"/>
              <w:jc w:val="center"/>
              <w:rPr>
                <w:rFonts w:hint="default" w:eastAsia="宋体"/>
                <w:color w:val="auto"/>
                <w:sz w:val="18"/>
                <w:szCs w:val="18"/>
                <w:lang w:val="en-US" w:eastAsia="zh-CN"/>
              </w:rPr>
            </w:pPr>
            <w:r>
              <w:rPr>
                <w:rFonts w:hint="eastAsia" w:eastAsia="宋体"/>
                <w:color w:val="auto"/>
                <w:sz w:val="18"/>
                <w:szCs w:val="18"/>
                <w:lang w:val="en-US" w:eastAsia="zh-CN"/>
              </w:rPr>
              <w:t>169.5</w:t>
            </w:r>
          </w:p>
        </w:tc>
        <w:tc>
          <w:tcPr>
            <w:tcW w:w="488" w:type="pct"/>
            <w:gridSpan w:val="2"/>
            <w:tcMar>
              <w:left w:w="57" w:type="dxa"/>
              <w:right w:w="57" w:type="dxa"/>
            </w:tcMar>
            <w:vAlign w:val="center"/>
          </w:tcPr>
          <w:p w14:paraId="03655787">
            <w:pPr>
              <w:tabs>
                <w:tab w:val="left" w:pos="690"/>
              </w:tabs>
              <w:adjustRightInd w:val="0"/>
              <w:snapToGrid w:val="0"/>
              <w:jc w:val="center"/>
              <w:rPr>
                <w:rFonts w:eastAsiaTheme="minorEastAsia"/>
                <w:color w:val="auto"/>
                <w:sz w:val="18"/>
                <w:szCs w:val="18"/>
              </w:rPr>
            </w:pPr>
            <w:r>
              <w:rPr>
                <w:rFonts w:eastAsiaTheme="minorEastAsia"/>
                <w:b/>
                <w:color w:val="auto"/>
                <w:sz w:val="18"/>
                <w:szCs w:val="18"/>
              </w:rPr>
              <w:t>所占比例（%）</w:t>
            </w:r>
          </w:p>
        </w:tc>
        <w:tc>
          <w:tcPr>
            <w:tcW w:w="2466" w:type="dxa"/>
            <w:gridSpan w:val="4"/>
            <w:tcMar>
              <w:left w:w="57" w:type="dxa"/>
              <w:right w:w="57" w:type="dxa"/>
            </w:tcMar>
            <w:vAlign w:val="center"/>
          </w:tcPr>
          <w:p w14:paraId="35CE9C2C">
            <w:pPr>
              <w:adjustRightInd w:val="0"/>
              <w:snapToGrid w:val="0"/>
              <w:jc w:val="center"/>
              <w:rPr>
                <w:rFonts w:hint="default" w:eastAsia="宋体"/>
                <w:color w:val="auto"/>
                <w:sz w:val="18"/>
                <w:szCs w:val="18"/>
                <w:lang w:val="en-US" w:eastAsia="zh-CN"/>
              </w:rPr>
            </w:pPr>
            <w:r>
              <w:rPr>
                <w:rFonts w:hint="eastAsia" w:eastAsia="宋体"/>
                <w:color w:val="auto"/>
                <w:sz w:val="18"/>
                <w:szCs w:val="18"/>
                <w:lang w:val="en-US" w:eastAsia="zh-CN"/>
              </w:rPr>
              <w:t>0.339%</w:t>
            </w:r>
          </w:p>
        </w:tc>
      </w:tr>
      <w:tr w14:paraId="32E60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7DAB3AF6">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06F08007">
            <w:pPr>
              <w:adjustRightInd w:val="0"/>
              <w:snapToGrid w:val="0"/>
              <w:jc w:val="center"/>
              <w:rPr>
                <w:rFonts w:eastAsiaTheme="minorEastAsia"/>
                <w:color w:val="auto"/>
                <w:sz w:val="18"/>
                <w:szCs w:val="18"/>
              </w:rPr>
            </w:pPr>
            <w:r>
              <w:rPr>
                <w:rFonts w:eastAsiaTheme="minorEastAsia"/>
                <w:b/>
                <w:color w:val="auto"/>
                <w:sz w:val="18"/>
                <w:szCs w:val="18"/>
              </w:rPr>
              <w:t>实际总投资（万元）</w:t>
            </w:r>
          </w:p>
        </w:tc>
        <w:tc>
          <w:tcPr>
            <w:tcW w:w="1516" w:type="pct"/>
            <w:gridSpan w:val="6"/>
            <w:tcMar>
              <w:left w:w="57" w:type="dxa"/>
              <w:right w:w="57" w:type="dxa"/>
            </w:tcMar>
            <w:vAlign w:val="center"/>
          </w:tcPr>
          <w:p w14:paraId="6A94EADC">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40000</w:t>
            </w:r>
          </w:p>
        </w:tc>
        <w:tc>
          <w:tcPr>
            <w:tcW w:w="564" w:type="pct"/>
            <w:gridSpan w:val="2"/>
            <w:tcMar>
              <w:left w:w="57" w:type="dxa"/>
              <w:right w:w="57" w:type="dxa"/>
            </w:tcMar>
            <w:vAlign w:val="center"/>
          </w:tcPr>
          <w:p w14:paraId="48DD22C8">
            <w:pPr>
              <w:adjustRightInd w:val="0"/>
              <w:snapToGrid w:val="0"/>
              <w:jc w:val="center"/>
              <w:rPr>
                <w:rFonts w:eastAsiaTheme="minorEastAsia"/>
                <w:b/>
                <w:color w:val="auto"/>
                <w:sz w:val="18"/>
                <w:szCs w:val="18"/>
              </w:rPr>
            </w:pPr>
            <w:r>
              <w:rPr>
                <w:rFonts w:eastAsiaTheme="minorEastAsia"/>
                <w:b/>
                <w:color w:val="auto"/>
                <w:sz w:val="18"/>
                <w:szCs w:val="18"/>
              </w:rPr>
              <w:t>实际环保投资（万元）</w:t>
            </w:r>
          </w:p>
        </w:tc>
        <w:tc>
          <w:tcPr>
            <w:tcW w:w="2431" w:type="dxa"/>
            <w:gridSpan w:val="2"/>
            <w:tcMar>
              <w:left w:w="57" w:type="dxa"/>
              <w:right w:w="57" w:type="dxa"/>
            </w:tcMar>
            <w:vAlign w:val="center"/>
          </w:tcPr>
          <w:p w14:paraId="2D1EC832">
            <w:pPr>
              <w:adjustRightInd w:val="0"/>
              <w:snapToGrid w:val="0"/>
              <w:jc w:val="center"/>
              <w:rPr>
                <w:rFonts w:hint="default" w:eastAsia="宋体"/>
                <w:color w:val="auto"/>
                <w:sz w:val="18"/>
                <w:szCs w:val="18"/>
                <w:lang w:val="en-US" w:eastAsia="zh-CN"/>
              </w:rPr>
            </w:pPr>
            <w:r>
              <w:rPr>
                <w:rFonts w:hint="eastAsia"/>
                <w:color w:val="auto"/>
                <w:sz w:val="18"/>
                <w:szCs w:val="18"/>
                <w:lang w:val="en-US" w:eastAsia="zh-CN"/>
              </w:rPr>
              <w:t>65.5</w:t>
            </w:r>
          </w:p>
        </w:tc>
        <w:tc>
          <w:tcPr>
            <w:tcW w:w="488" w:type="pct"/>
            <w:gridSpan w:val="2"/>
            <w:tcMar>
              <w:left w:w="57" w:type="dxa"/>
              <w:right w:w="57" w:type="dxa"/>
            </w:tcMar>
            <w:vAlign w:val="center"/>
          </w:tcPr>
          <w:p w14:paraId="1E902187">
            <w:pPr>
              <w:adjustRightInd w:val="0"/>
              <w:snapToGrid w:val="0"/>
              <w:jc w:val="center"/>
              <w:rPr>
                <w:rFonts w:eastAsiaTheme="minorEastAsia"/>
                <w:b/>
                <w:color w:val="auto"/>
                <w:sz w:val="18"/>
                <w:szCs w:val="18"/>
              </w:rPr>
            </w:pPr>
            <w:r>
              <w:rPr>
                <w:rFonts w:eastAsiaTheme="minorEastAsia"/>
                <w:b/>
                <w:color w:val="auto"/>
                <w:sz w:val="18"/>
                <w:szCs w:val="18"/>
              </w:rPr>
              <w:t>所占比例（%）</w:t>
            </w:r>
          </w:p>
        </w:tc>
        <w:tc>
          <w:tcPr>
            <w:tcW w:w="2466" w:type="dxa"/>
            <w:gridSpan w:val="4"/>
            <w:tcMar>
              <w:left w:w="57" w:type="dxa"/>
              <w:right w:w="57" w:type="dxa"/>
            </w:tcMar>
            <w:vAlign w:val="center"/>
          </w:tcPr>
          <w:p w14:paraId="28C8DEB4">
            <w:pPr>
              <w:adjustRightInd w:val="0"/>
              <w:snapToGrid w:val="0"/>
              <w:jc w:val="center"/>
              <w:rPr>
                <w:rFonts w:hint="eastAsia" w:eastAsia="宋体"/>
                <w:color w:val="auto"/>
                <w:sz w:val="18"/>
                <w:szCs w:val="18"/>
                <w:lang w:val="en-US" w:eastAsia="zh-CN"/>
              </w:rPr>
            </w:pPr>
            <w:r>
              <w:rPr>
                <w:rFonts w:hint="eastAsia" w:eastAsia="宋体"/>
                <w:color w:val="auto"/>
                <w:sz w:val="18"/>
                <w:szCs w:val="18"/>
                <w:lang w:val="en-US" w:eastAsia="zh-CN"/>
              </w:rPr>
              <w:t>0.1</w:t>
            </w:r>
            <w:r>
              <w:rPr>
                <w:rFonts w:hint="eastAsia"/>
                <w:color w:val="auto"/>
                <w:sz w:val="18"/>
                <w:szCs w:val="18"/>
                <w:lang w:val="en-US" w:eastAsia="zh-CN"/>
              </w:rPr>
              <w:t>64</w:t>
            </w:r>
            <w:r>
              <w:rPr>
                <w:rFonts w:hint="eastAsia" w:eastAsia="宋体"/>
                <w:color w:val="auto"/>
                <w:sz w:val="18"/>
                <w:szCs w:val="18"/>
                <w:lang w:val="en-US" w:eastAsia="zh-CN"/>
              </w:rPr>
              <w:t>%</w:t>
            </w:r>
          </w:p>
        </w:tc>
      </w:tr>
      <w:tr w14:paraId="3CD19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119B62CE">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529673D7">
            <w:pPr>
              <w:adjustRightInd w:val="0"/>
              <w:snapToGrid w:val="0"/>
              <w:jc w:val="center"/>
              <w:rPr>
                <w:rFonts w:eastAsiaTheme="minorEastAsia"/>
                <w:color w:val="auto"/>
                <w:sz w:val="18"/>
                <w:szCs w:val="18"/>
              </w:rPr>
            </w:pPr>
            <w:r>
              <w:rPr>
                <w:rFonts w:eastAsiaTheme="minorEastAsia"/>
                <w:b/>
                <w:color w:val="auto"/>
                <w:sz w:val="18"/>
                <w:szCs w:val="18"/>
              </w:rPr>
              <w:t>废水治理（万元）</w:t>
            </w:r>
          </w:p>
        </w:tc>
        <w:tc>
          <w:tcPr>
            <w:tcW w:w="172" w:type="pct"/>
            <w:tcMar>
              <w:left w:w="57" w:type="dxa"/>
              <w:right w:w="57" w:type="dxa"/>
            </w:tcMar>
            <w:vAlign w:val="center"/>
          </w:tcPr>
          <w:p w14:paraId="2BC6CD7B">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2</w:t>
            </w:r>
          </w:p>
        </w:tc>
        <w:tc>
          <w:tcPr>
            <w:tcW w:w="428" w:type="pct"/>
            <w:tcMar>
              <w:left w:w="57" w:type="dxa"/>
              <w:right w:w="57" w:type="dxa"/>
            </w:tcMar>
            <w:vAlign w:val="center"/>
          </w:tcPr>
          <w:p w14:paraId="0FE12F69">
            <w:pPr>
              <w:adjustRightInd w:val="0"/>
              <w:snapToGrid w:val="0"/>
              <w:jc w:val="center"/>
              <w:rPr>
                <w:rFonts w:eastAsiaTheme="minorEastAsia"/>
                <w:b/>
                <w:color w:val="auto"/>
                <w:sz w:val="18"/>
                <w:szCs w:val="18"/>
              </w:rPr>
            </w:pPr>
            <w:r>
              <w:rPr>
                <w:rFonts w:eastAsiaTheme="minorEastAsia"/>
                <w:b/>
                <w:color w:val="auto"/>
                <w:sz w:val="18"/>
                <w:szCs w:val="18"/>
              </w:rPr>
              <w:t>废气治理（万元）</w:t>
            </w:r>
          </w:p>
        </w:tc>
        <w:tc>
          <w:tcPr>
            <w:tcW w:w="339" w:type="pct"/>
            <w:tcMar>
              <w:left w:w="57" w:type="dxa"/>
              <w:right w:w="57" w:type="dxa"/>
            </w:tcMar>
            <w:vAlign w:val="center"/>
          </w:tcPr>
          <w:p w14:paraId="44374529">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31</w:t>
            </w:r>
          </w:p>
        </w:tc>
        <w:tc>
          <w:tcPr>
            <w:tcW w:w="363" w:type="pct"/>
            <w:gridSpan w:val="2"/>
            <w:tcMar>
              <w:left w:w="57" w:type="dxa"/>
              <w:right w:w="57" w:type="dxa"/>
            </w:tcMar>
            <w:vAlign w:val="center"/>
          </w:tcPr>
          <w:p w14:paraId="3D47DFAE">
            <w:pPr>
              <w:adjustRightInd w:val="0"/>
              <w:snapToGrid w:val="0"/>
              <w:jc w:val="center"/>
              <w:rPr>
                <w:rFonts w:eastAsiaTheme="minorEastAsia"/>
                <w:b/>
                <w:color w:val="auto"/>
                <w:sz w:val="18"/>
                <w:szCs w:val="18"/>
              </w:rPr>
            </w:pPr>
            <w:r>
              <w:rPr>
                <w:rFonts w:eastAsiaTheme="minorEastAsia"/>
                <w:b/>
                <w:color w:val="auto"/>
                <w:sz w:val="18"/>
                <w:szCs w:val="18"/>
              </w:rPr>
              <w:t>噪声治理</w:t>
            </w:r>
          </w:p>
          <w:p w14:paraId="3AE4967A">
            <w:pPr>
              <w:adjustRightInd w:val="0"/>
              <w:snapToGrid w:val="0"/>
              <w:jc w:val="center"/>
              <w:rPr>
                <w:rFonts w:eastAsiaTheme="minorEastAsia"/>
                <w:b/>
                <w:color w:val="auto"/>
                <w:sz w:val="18"/>
                <w:szCs w:val="18"/>
              </w:rPr>
            </w:pPr>
            <w:r>
              <w:rPr>
                <w:rFonts w:eastAsiaTheme="minorEastAsia"/>
                <w:b/>
                <w:color w:val="auto"/>
                <w:sz w:val="18"/>
                <w:szCs w:val="18"/>
              </w:rPr>
              <w:t>（万元）</w:t>
            </w:r>
          </w:p>
        </w:tc>
        <w:tc>
          <w:tcPr>
            <w:tcW w:w="212" w:type="pct"/>
            <w:tcMar>
              <w:left w:w="57" w:type="dxa"/>
              <w:right w:w="57" w:type="dxa"/>
            </w:tcMar>
            <w:vAlign w:val="center"/>
          </w:tcPr>
          <w:p w14:paraId="27E35BD2">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10</w:t>
            </w:r>
          </w:p>
        </w:tc>
        <w:tc>
          <w:tcPr>
            <w:tcW w:w="564" w:type="pct"/>
            <w:gridSpan w:val="2"/>
            <w:tcMar>
              <w:left w:w="57" w:type="dxa"/>
              <w:right w:w="57" w:type="dxa"/>
            </w:tcMar>
            <w:vAlign w:val="center"/>
          </w:tcPr>
          <w:p w14:paraId="018D0C53">
            <w:pPr>
              <w:adjustRightInd w:val="0"/>
              <w:snapToGrid w:val="0"/>
              <w:jc w:val="center"/>
              <w:rPr>
                <w:rFonts w:eastAsiaTheme="minorEastAsia"/>
                <w:color w:val="auto"/>
                <w:sz w:val="18"/>
                <w:szCs w:val="18"/>
              </w:rPr>
            </w:pPr>
            <w:r>
              <w:rPr>
                <w:rFonts w:eastAsiaTheme="minorEastAsia"/>
                <w:b/>
                <w:color w:val="auto"/>
                <w:sz w:val="18"/>
                <w:szCs w:val="18"/>
              </w:rPr>
              <w:t>固体废物治理（万元）</w:t>
            </w:r>
          </w:p>
        </w:tc>
        <w:tc>
          <w:tcPr>
            <w:tcW w:w="861" w:type="pct"/>
            <w:gridSpan w:val="2"/>
            <w:tcMar>
              <w:left w:w="57" w:type="dxa"/>
              <w:right w:w="57" w:type="dxa"/>
            </w:tcMar>
            <w:vAlign w:val="center"/>
          </w:tcPr>
          <w:p w14:paraId="512F1562">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2.5</w:t>
            </w:r>
          </w:p>
        </w:tc>
        <w:tc>
          <w:tcPr>
            <w:tcW w:w="488" w:type="pct"/>
            <w:gridSpan w:val="2"/>
            <w:tcMar>
              <w:left w:w="57" w:type="dxa"/>
              <w:right w:w="57" w:type="dxa"/>
            </w:tcMar>
            <w:vAlign w:val="center"/>
          </w:tcPr>
          <w:p w14:paraId="15703684">
            <w:pPr>
              <w:adjustRightInd w:val="0"/>
              <w:snapToGrid w:val="0"/>
              <w:jc w:val="center"/>
              <w:rPr>
                <w:rFonts w:eastAsiaTheme="minorEastAsia"/>
                <w:b/>
                <w:color w:val="auto"/>
                <w:sz w:val="18"/>
                <w:szCs w:val="18"/>
              </w:rPr>
            </w:pPr>
            <w:r>
              <w:rPr>
                <w:rFonts w:eastAsiaTheme="minorEastAsia"/>
                <w:b/>
                <w:color w:val="auto"/>
                <w:sz w:val="18"/>
                <w:szCs w:val="18"/>
              </w:rPr>
              <w:t>绿化及生态（万元）</w:t>
            </w:r>
          </w:p>
        </w:tc>
        <w:tc>
          <w:tcPr>
            <w:tcW w:w="201" w:type="pct"/>
            <w:tcMar>
              <w:left w:w="57" w:type="dxa"/>
              <w:right w:w="57" w:type="dxa"/>
            </w:tcMar>
            <w:vAlign w:val="center"/>
          </w:tcPr>
          <w:p w14:paraId="4A1E06DC">
            <w:pPr>
              <w:adjustRightInd w:val="0"/>
              <w:snapToGrid w:val="0"/>
              <w:jc w:val="center"/>
              <w:rPr>
                <w:rFonts w:eastAsiaTheme="minorEastAsia"/>
                <w:color w:val="auto"/>
                <w:sz w:val="18"/>
                <w:szCs w:val="18"/>
              </w:rPr>
            </w:pPr>
            <w:r>
              <w:rPr>
                <w:rFonts w:hint="eastAsia" w:eastAsiaTheme="minorEastAsia"/>
                <w:color w:val="auto"/>
                <w:sz w:val="18"/>
                <w:szCs w:val="18"/>
              </w:rPr>
              <w:t>/</w:t>
            </w:r>
          </w:p>
        </w:tc>
        <w:tc>
          <w:tcPr>
            <w:tcW w:w="358" w:type="pct"/>
            <w:gridSpan w:val="2"/>
            <w:tcMar>
              <w:left w:w="57" w:type="dxa"/>
              <w:right w:w="57" w:type="dxa"/>
            </w:tcMar>
            <w:vAlign w:val="center"/>
          </w:tcPr>
          <w:p w14:paraId="5C017CB2">
            <w:pPr>
              <w:adjustRightInd w:val="0"/>
              <w:snapToGrid w:val="0"/>
              <w:jc w:val="center"/>
              <w:rPr>
                <w:rFonts w:eastAsiaTheme="minorEastAsia"/>
                <w:b/>
                <w:color w:val="auto"/>
                <w:sz w:val="18"/>
                <w:szCs w:val="18"/>
              </w:rPr>
            </w:pPr>
            <w:r>
              <w:rPr>
                <w:rFonts w:eastAsiaTheme="minorEastAsia"/>
                <w:b/>
                <w:color w:val="auto"/>
                <w:sz w:val="18"/>
                <w:szCs w:val="18"/>
              </w:rPr>
              <w:t>其他（万元）</w:t>
            </w:r>
          </w:p>
        </w:tc>
        <w:tc>
          <w:tcPr>
            <w:tcW w:w="314" w:type="pct"/>
            <w:tcMar>
              <w:left w:w="57" w:type="dxa"/>
              <w:right w:w="57" w:type="dxa"/>
            </w:tcMar>
            <w:vAlign w:val="center"/>
          </w:tcPr>
          <w:p w14:paraId="7DE438CD">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20</w:t>
            </w:r>
          </w:p>
        </w:tc>
      </w:tr>
      <w:tr w14:paraId="64C3A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27" w:type="pct"/>
            <w:vMerge w:val="continue"/>
            <w:tcMar>
              <w:left w:w="57" w:type="dxa"/>
              <w:right w:w="57" w:type="dxa"/>
            </w:tcMar>
            <w:vAlign w:val="center"/>
          </w:tcPr>
          <w:p w14:paraId="4D7215B2">
            <w:pPr>
              <w:adjustRightInd w:val="0"/>
              <w:snapToGrid w:val="0"/>
              <w:jc w:val="center"/>
              <w:rPr>
                <w:rFonts w:eastAsiaTheme="minorEastAsia"/>
                <w:color w:val="auto"/>
                <w:sz w:val="18"/>
                <w:szCs w:val="18"/>
              </w:rPr>
            </w:pPr>
          </w:p>
        </w:tc>
        <w:tc>
          <w:tcPr>
            <w:tcW w:w="568" w:type="pct"/>
            <w:gridSpan w:val="3"/>
            <w:tcMar>
              <w:left w:w="57" w:type="dxa"/>
              <w:right w:w="57" w:type="dxa"/>
            </w:tcMar>
            <w:vAlign w:val="center"/>
          </w:tcPr>
          <w:p w14:paraId="327CC878">
            <w:pPr>
              <w:adjustRightInd w:val="0"/>
              <w:snapToGrid w:val="0"/>
              <w:jc w:val="center"/>
              <w:rPr>
                <w:rFonts w:eastAsiaTheme="minorEastAsia"/>
                <w:color w:val="auto"/>
                <w:sz w:val="18"/>
                <w:szCs w:val="18"/>
              </w:rPr>
            </w:pPr>
            <w:r>
              <w:rPr>
                <w:rFonts w:eastAsiaTheme="minorEastAsia"/>
                <w:b/>
                <w:color w:val="auto"/>
                <w:sz w:val="18"/>
                <w:szCs w:val="18"/>
              </w:rPr>
              <w:t>新增废水处理设施能力</w:t>
            </w:r>
          </w:p>
        </w:tc>
        <w:tc>
          <w:tcPr>
            <w:tcW w:w="1516" w:type="pct"/>
            <w:gridSpan w:val="6"/>
            <w:tcMar>
              <w:left w:w="57" w:type="dxa"/>
              <w:right w:w="57" w:type="dxa"/>
            </w:tcMar>
            <w:vAlign w:val="center"/>
          </w:tcPr>
          <w:p w14:paraId="0DCF74BB">
            <w:pPr>
              <w:adjustRightInd w:val="0"/>
              <w:snapToGrid w:val="0"/>
              <w:jc w:val="center"/>
              <w:rPr>
                <w:rFonts w:eastAsiaTheme="minorEastAsia"/>
                <w:color w:val="auto"/>
                <w:sz w:val="18"/>
                <w:szCs w:val="18"/>
              </w:rPr>
            </w:pPr>
            <w:r>
              <w:rPr>
                <w:rFonts w:eastAsiaTheme="minorEastAsia"/>
                <w:color w:val="auto"/>
                <w:sz w:val="18"/>
                <w:szCs w:val="18"/>
              </w:rPr>
              <w:t>/</w:t>
            </w:r>
          </w:p>
        </w:tc>
        <w:tc>
          <w:tcPr>
            <w:tcW w:w="564" w:type="pct"/>
            <w:gridSpan w:val="2"/>
            <w:tcMar>
              <w:left w:w="57" w:type="dxa"/>
              <w:right w:w="57" w:type="dxa"/>
            </w:tcMar>
            <w:vAlign w:val="center"/>
          </w:tcPr>
          <w:p w14:paraId="1C91D33B">
            <w:pPr>
              <w:adjustRightInd w:val="0"/>
              <w:snapToGrid w:val="0"/>
              <w:jc w:val="center"/>
              <w:rPr>
                <w:rFonts w:eastAsiaTheme="minorEastAsia"/>
                <w:b/>
                <w:color w:val="auto"/>
                <w:sz w:val="18"/>
                <w:szCs w:val="18"/>
              </w:rPr>
            </w:pPr>
            <w:r>
              <w:rPr>
                <w:rFonts w:eastAsiaTheme="minorEastAsia"/>
                <w:b/>
                <w:color w:val="auto"/>
                <w:sz w:val="18"/>
                <w:szCs w:val="18"/>
              </w:rPr>
              <w:t>新增废气</w:t>
            </w:r>
          </w:p>
          <w:p w14:paraId="56717F08">
            <w:pPr>
              <w:adjustRightInd w:val="0"/>
              <w:snapToGrid w:val="0"/>
              <w:jc w:val="center"/>
              <w:rPr>
                <w:rFonts w:eastAsiaTheme="minorEastAsia"/>
                <w:color w:val="auto"/>
                <w:sz w:val="18"/>
                <w:szCs w:val="18"/>
              </w:rPr>
            </w:pPr>
            <w:r>
              <w:rPr>
                <w:rFonts w:eastAsiaTheme="minorEastAsia"/>
                <w:b/>
                <w:color w:val="auto"/>
                <w:sz w:val="18"/>
                <w:szCs w:val="18"/>
              </w:rPr>
              <w:t>处理设施能力</w:t>
            </w:r>
          </w:p>
        </w:tc>
        <w:tc>
          <w:tcPr>
            <w:tcW w:w="861" w:type="pct"/>
            <w:gridSpan w:val="2"/>
            <w:tcMar>
              <w:left w:w="57" w:type="dxa"/>
              <w:right w:w="57" w:type="dxa"/>
            </w:tcMar>
            <w:vAlign w:val="center"/>
          </w:tcPr>
          <w:p w14:paraId="58950D29">
            <w:pPr>
              <w:adjustRightInd w:val="0"/>
              <w:snapToGrid w:val="0"/>
              <w:jc w:val="center"/>
              <w:rPr>
                <w:rFonts w:eastAsiaTheme="minorEastAsia"/>
                <w:color w:val="auto"/>
                <w:sz w:val="18"/>
                <w:szCs w:val="18"/>
              </w:rPr>
            </w:pPr>
            <w:r>
              <w:rPr>
                <w:rFonts w:hint="eastAsia" w:eastAsiaTheme="minorEastAsia"/>
                <w:color w:val="auto"/>
                <w:sz w:val="18"/>
                <w:szCs w:val="18"/>
              </w:rPr>
              <w:t>/</w:t>
            </w:r>
          </w:p>
        </w:tc>
        <w:tc>
          <w:tcPr>
            <w:tcW w:w="488" w:type="pct"/>
            <w:gridSpan w:val="2"/>
            <w:tcMar>
              <w:left w:w="57" w:type="dxa"/>
              <w:right w:w="57" w:type="dxa"/>
            </w:tcMar>
            <w:vAlign w:val="center"/>
          </w:tcPr>
          <w:p w14:paraId="198980B8">
            <w:pPr>
              <w:adjustRightInd w:val="0"/>
              <w:snapToGrid w:val="0"/>
              <w:jc w:val="center"/>
              <w:rPr>
                <w:rFonts w:eastAsiaTheme="minorEastAsia"/>
                <w:color w:val="auto"/>
                <w:sz w:val="18"/>
                <w:szCs w:val="18"/>
              </w:rPr>
            </w:pPr>
            <w:r>
              <w:rPr>
                <w:rFonts w:eastAsiaTheme="minorEastAsia"/>
                <w:b/>
                <w:color w:val="auto"/>
                <w:sz w:val="18"/>
                <w:szCs w:val="18"/>
              </w:rPr>
              <w:t>年平均工作时</w:t>
            </w:r>
          </w:p>
        </w:tc>
        <w:tc>
          <w:tcPr>
            <w:tcW w:w="873" w:type="pct"/>
            <w:gridSpan w:val="4"/>
            <w:tcMar>
              <w:left w:w="57" w:type="dxa"/>
              <w:right w:w="57" w:type="dxa"/>
            </w:tcMar>
            <w:vAlign w:val="center"/>
          </w:tcPr>
          <w:p w14:paraId="6582A9A1">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4800</w:t>
            </w:r>
          </w:p>
        </w:tc>
      </w:tr>
      <w:tr w14:paraId="3C3B85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96" w:type="pct"/>
            <w:gridSpan w:val="4"/>
            <w:tcMar>
              <w:left w:w="57" w:type="dxa"/>
              <w:right w:w="57" w:type="dxa"/>
            </w:tcMar>
            <w:vAlign w:val="center"/>
          </w:tcPr>
          <w:p w14:paraId="23DCCE45">
            <w:pPr>
              <w:adjustRightInd w:val="0"/>
              <w:snapToGrid w:val="0"/>
              <w:jc w:val="center"/>
              <w:rPr>
                <w:rFonts w:eastAsiaTheme="minorEastAsia"/>
                <w:b/>
                <w:color w:val="auto"/>
                <w:sz w:val="18"/>
                <w:szCs w:val="18"/>
              </w:rPr>
            </w:pPr>
            <w:r>
              <w:rPr>
                <w:rFonts w:eastAsiaTheme="minorEastAsia"/>
                <w:b/>
                <w:color w:val="auto"/>
                <w:sz w:val="18"/>
                <w:szCs w:val="18"/>
              </w:rPr>
              <w:t>运营单位</w:t>
            </w:r>
          </w:p>
        </w:tc>
        <w:tc>
          <w:tcPr>
            <w:tcW w:w="1192" w:type="pct"/>
            <w:gridSpan w:val="4"/>
            <w:tcMar>
              <w:left w:w="57" w:type="dxa"/>
              <w:right w:w="57" w:type="dxa"/>
            </w:tcMar>
            <w:vAlign w:val="center"/>
          </w:tcPr>
          <w:p w14:paraId="02AE4270">
            <w:pPr>
              <w:adjustRightInd w:val="0"/>
              <w:snapToGrid w:val="0"/>
              <w:jc w:val="center"/>
              <w:rPr>
                <w:rFonts w:hint="eastAsia" w:eastAsiaTheme="minorEastAsia"/>
                <w:color w:val="auto"/>
                <w:sz w:val="18"/>
                <w:szCs w:val="18"/>
                <w:lang w:eastAsia="zh-CN"/>
              </w:rPr>
            </w:pPr>
            <w:r>
              <w:rPr>
                <w:rFonts w:hint="eastAsia" w:eastAsiaTheme="minorEastAsia"/>
                <w:color w:val="auto"/>
                <w:sz w:val="18"/>
                <w:szCs w:val="18"/>
                <w:lang w:val="en-US" w:eastAsia="zh-CN"/>
              </w:rPr>
              <w:t>水联（江西）管道装备有限公司</w:t>
            </w:r>
          </w:p>
        </w:tc>
        <w:tc>
          <w:tcPr>
            <w:tcW w:w="982" w:type="pct"/>
            <w:gridSpan w:val="5"/>
            <w:tcMar>
              <w:left w:w="57" w:type="dxa"/>
              <w:right w:w="57" w:type="dxa"/>
            </w:tcMar>
            <w:vAlign w:val="center"/>
          </w:tcPr>
          <w:p w14:paraId="1333F157">
            <w:pPr>
              <w:adjustRightInd w:val="0"/>
              <w:snapToGrid w:val="0"/>
              <w:jc w:val="center"/>
              <w:rPr>
                <w:rFonts w:eastAsiaTheme="minorEastAsia"/>
                <w:b/>
                <w:color w:val="auto"/>
                <w:sz w:val="18"/>
                <w:szCs w:val="18"/>
              </w:rPr>
            </w:pPr>
            <w:r>
              <w:rPr>
                <w:rFonts w:eastAsiaTheme="minorEastAsia"/>
                <w:b/>
                <w:color w:val="auto"/>
                <w:sz w:val="18"/>
                <w:szCs w:val="18"/>
              </w:rPr>
              <w:t>运营单位社会统一信用代码</w:t>
            </w:r>
          </w:p>
          <w:p w14:paraId="310D12F4">
            <w:pPr>
              <w:adjustRightInd w:val="0"/>
              <w:snapToGrid w:val="0"/>
              <w:jc w:val="center"/>
              <w:rPr>
                <w:rFonts w:eastAsiaTheme="minorEastAsia"/>
                <w:color w:val="auto"/>
                <w:sz w:val="18"/>
                <w:szCs w:val="18"/>
              </w:rPr>
            </w:pPr>
            <w:r>
              <w:rPr>
                <w:rFonts w:eastAsiaTheme="minorEastAsia"/>
                <w:b/>
                <w:color w:val="auto"/>
                <w:sz w:val="18"/>
                <w:szCs w:val="18"/>
              </w:rPr>
              <w:t>（或组织机构代码）</w:t>
            </w:r>
          </w:p>
        </w:tc>
        <w:tc>
          <w:tcPr>
            <w:tcW w:w="766" w:type="pct"/>
            <w:tcMar>
              <w:left w:w="57" w:type="dxa"/>
              <w:right w:w="57" w:type="dxa"/>
            </w:tcMar>
            <w:vAlign w:val="center"/>
          </w:tcPr>
          <w:p w14:paraId="7B0D7E2E">
            <w:pPr>
              <w:adjustRightInd w:val="0"/>
              <w:snapToGrid w:val="0"/>
              <w:ind w:left="-105" w:leftChars="-50" w:right="-105" w:rightChars="-50"/>
              <w:jc w:val="center"/>
              <w:rPr>
                <w:rFonts w:hint="default" w:eastAsiaTheme="minorEastAsia"/>
                <w:color w:val="auto"/>
                <w:sz w:val="18"/>
                <w:szCs w:val="18"/>
                <w:lang w:val="en-US" w:eastAsia="zh-CN"/>
              </w:rPr>
            </w:pPr>
            <w:r>
              <w:rPr>
                <w:rFonts w:hint="default" w:eastAsiaTheme="minorEastAsia"/>
                <w:color w:val="auto"/>
                <w:sz w:val="18"/>
                <w:szCs w:val="18"/>
                <w:lang w:val="en-US" w:eastAsia="zh-CN"/>
              </w:rPr>
              <w:t>91360121MAD5Y73N7U</w:t>
            </w:r>
          </w:p>
        </w:tc>
        <w:tc>
          <w:tcPr>
            <w:tcW w:w="488" w:type="pct"/>
            <w:gridSpan w:val="2"/>
            <w:tcMar>
              <w:left w:w="57" w:type="dxa"/>
              <w:right w:w="57" w:type="dxa"/>
            </w:tcMar>
            <w:vAlign w:val="center"/>
          </w:tcPr>
          <w:p w14:paraId="7ED38605">
            <w:pPr>
              <w:adjustRightInd w:val="0"/>
              <w:snapToGrid w:val="0"/>
              <w:jc w:val="center"/>
              <w:rPr>
                <w:rFonts w:eastAsiaTheme="minorEastAsia"/>
                <w:b/>
                <w:color w:val="auto"/>
                <w:sz w:val="18"/>
                <w:szCs w:val="18"/>
              </w:rPr>
            </w:pPr>
            <w:r>
              <w:rPr>
                <w:rFonts w:eastAsiaTheme="minorEastAsia"/>
                <w:b/>
                <w:color w:val="auto"/>
                <w:sz w:val="18"/>
                <w:szCs w:val="18"/>
              </w:rPr>
              <w:t>验收时间</w:t>
            </w:r>
          </w:p>
        </w:tc>
        <w:tc>
          <w:tcPr>
            <w:tcW w:w="873" w:type="pct"/>
            <w:gridSpan w:val="4"/>
            <w:tcMar>
              <w:left w:w="57" w:type="dxa"/>
              <w:right w:w="57" w:type="dxa"/>
            </w:tcMar>
            <w:vAlign w:val="center"/>
          </w:tcPr>
          <w:p w14:paraId="3929120F">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rPr>
              <w:t>202</w:t>
            </w:r>
            <w:r>
              <w:rPr>
                <w:rFonts w:hint="eastAsia" w:eastAsiaTheme="minorEastAsia"/>
                <w:color w:val="auto"/>
                <w:sz w:val="18"/>
                <w:szCs w:val="18"/>
                <w:lang w:val="en-US" w:eastAsia="zh-CN"/>
              </w:rPr>
              <w:t>6</w:t>
            </w:r>
            <w:r>
              <w:rPr>
                <w:rFonts w:hint="eastAsia" w:eastAsiaTheme="minorEastAsia"/>
                <w:color w:val="auto"/>
                <w:sz w:val="18"/>
                <w:szCs w:val="18"/>
              </w:rPr>
              <w:t>.</w:t>
            </w:r>
            <w:r>
              <w:rPr>
                <w:rFonts w:hint="eastAsia" w:eastAsiaTheme="minorEastAsia"/>
                <w:color w:val="auto"/>
                <w:sz w:val="18"/>
                <w:szCs w:val="18"/>
                <w:lang w:val="en-US" w:eastAsia="zh-CN"/>
              </w:rPr>
              <w:t>6</w:t>
            </w:r>
          </w:p>
        </w:tc>
      </w:tr>
      <w:tr w14:paraId="0F2DA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4" w:type="pct"/>
            <w:gridSpan w:val="2"/>
            <w:vMerge w:val="restart"/>
            <w:tcMar>
              <w:left w:w="57" w:type="dxa"/>
              <w:right w:w="57" w:type="dxa"/>
            </w:tcMar>
            <w:vAlign w:val="center"/>
          </w:tcPr>
          <w:p w14:paraId="78D10FAC">
            <w:pPr>
              <w:adjustRightInd w:val="0"/>
              <w:snapToGrid w:val="0"/>
              <w:jc w:val="center"/>
              <w:rPr>
                <w:rFonts w:eastAsiaTheme="minorEastAsia"/>
                <w:b/>
                <w:color w:val="auto"/>
                <w:sz w:val="18"/>
                <w:szCs w:val="18"/>
              </w:rPr>
            </w:pPr>
            <w:r>
              <w:rPr>
                <w:rFonts w:eastAsiaTheme="minorEastAsia"/>
                <w:b/>
                <w:color w:val="auto"/>
                <w:sz w:val="18"/>
                <w:szCs w:val="18"/>
              </w:rPr>
              <w:t>污染</w:t>
            </w:r>
          </w:p>
          <w:p w14:paraId="71DCD778">
            <w:pPr>
              <w:adjustRightInd w:val="0"/>
              <w:snapToGrid w:val="0"/>
              <w:jc w:val="center"/>
              <w:rPr>
                <w:rFonts w:eastAsiaTheme="minorEastAsia"/>
                <w:b/>
                <w:color w:val="auto"/>
                <w:sz w:val="18"/>
                <w:szCs w:val="18"/>
              </w:rPr>
            </w:pPr>
            <w:r>
              <w:rPr>
                <w:rFonts w:eastAsiaTheme="minorEastAsia"/>
                <w:b/>
                <w:color w:val="auto"/>
                <w:sz w:val="18"/>
                <w:szCs w:val="18"/>
              </w:rPr>
              <w:t>物排</w:t>
            </w:r>
          </w:p>
          <w:p w14:paraId="2CD5FBA0">
            <w:pPr>
              <w:adjustRightInd w:val="0"/>
              <w:snapToGrid w:val="0"/>
              <w:jc w:val="center"/>
              <w:rPr>
                <w:rFonts w:eastAsiaTheme="minorEastAsia"/>
                <w:b/>
                <w:color w:val="auto"/>
                <w:sz w:val="18"/>
                <w:szCs w:val="18"/>
              </w:rPr>
            </w:pPr>
            <w:r>
              <w:rPr>
                <w:rFonts w:eastAsiaTheme="minorEastAsia"/>
                <w:b/>
                <w:color w:val="auto"/>
                <w:sz w:val="18"/>
                <w:szCs w:val="18"/>
              </w:rPr>
              <w:t>放达</w:t>
            </w:r>
          </w:p>
          <w:p w14:paraId="22BB0F74">
            <w:pPr>
              <w:adjustRightInd w:val="0"/>
              <w:snapToGrid w:val="0"/>
              <w:jc w:val="center"/>
              <w:rPr>
                <w:rFonts w:eastAsiaTheme="minorEastAsia"/>
                <w:b/>
                <w:color w:val="auto"/>
                <w:sz w:val="18"/>
                <w:szCs w:val="18"/>
              </w:rPr>
            </w:pPr>
            <w:r>
              <w:rPr>
                <w:rFonts w:eastAsiaTheme="minorEastAsia"/>
                <w:b/>
                <w:color w:val="auto"/>
                <w:sz w:val="18"/>
                <w:szCs w:val="18"/>
              </w:rPr>
              <w:t>标与</w:t>
            </w:r>
          </w:p>
          <w:p w14:paraId="1656E06D">
            <w:pPr>
              <w:adjustRightInd w:val="0"/>
              <w:snapToGrid w:val="0"/>
              <w:jc w:val="center"/>
              <w:rPr>
                <w:rFonts w:eastAsiaTheme="minorEastAsia"/>
                <w:b/>
                <w:color w:val="auto"/>
                <w:sz w:val="18"/>
                <w:szCs w:val="18"/>
              </w:rPr>
            </w:pPr>
            <w:r>
              <w:rPr>
                <w:rFonts w:eastAsiaTheme="minorEastAsia"/>
                <w:b/>
                <w:color w:val="auto"/>
                <w:sz w:val="18"/>
                <w:szCs w:val="18"/>
              </w:rPr>
              <w:t>总量</w:t>
            </w:r>
          </w:p>
          <w:p w14:paraId="0CAF49CB">
            <w:pPr>
              <w:adjustRightInd w:val="0"/>
              <w:snapToGrid w:val="0"/>
              <w:jc w:val="center"/>
              <w:rPr>
                <w:rFonts w:eastAsiaTheme="minorEastAsia"/>
                <w:b/>
                <w:color w:val="auto"/>
                <w:sz w:val="18"/>
                <w:szCs w:val="18"/>
              </w:rPr>
            </w:pPr>
            <w:r>
              <w:rPr>
                <w:rFonts w:eastAsiaTheme="minorEastAsia"/>
                <w:b/>
                <w:color w:val="auto"/>
                <w:sz w:val="18"/>
                <w:szCs w:val="18"/>
              </w:rPr>
              <w:t>控制（工</w:t>
            </w:r>
          </w:p>
          <w:p w14:paraId="01124287">
            <w:pPr>
              <w:adjustRightInd w:val="0"/>
              <w:snapToGrid w:val="0"/>
              <w:jc w:val="center"/>
              <w:rPr>
                <w:rFonts w:eastAsiaTheme="minorEastAsia"/>
                <w:b/>
                <w:color w:val="auto"/>
                <w:sz w:val="18"/>
                <w:szCs w:val="18"/>
              </w:rPr>
            </w:pPr>
            <w:r>
              <w:rPr>
                <w:rFonts w:eastAsiaTheme="minorEastAsia"/>
                <w:b/>
                <w:color w:val="auto"/>
                <w:sz w:val="18"/>
                <w:szCs w:val="18"/>
              </w:rPr>
              <w:t>业建</w:t>
            </w:r>
          </w:p>
          <w:p w14:paraId="536FE1C5">
            <w:pPr>
              <w:adjustRightInd w:val="0"/>
              <w:snapToGrid w:val="0"/>
              <w:jc w:val="center"/>
              <w:rPr>
                <w:rFonts w:eastAsiaTheme="minorEastAsia"/>
                <w:b/>
                <w:color w:val="auto"/>
                <w:sz w:val="18"/>
                <w:szCs w:val="18"/>
              </w:rPr>
            </w:pPr>
            <w:r>
              <w:rPr>
                <w:rFonts w:eastAsiaTheme="minorEastAsia"/>
                <w:b/>
                <w:color w:val="auto"/>
                <w:sz w:val="18"/>
                <w:szCs w:val="18"/>
              </w:rPr>
              <w:t>设项</w:t>
            </w:r>
          </w:p>
          <w:p w14:paraId="31BF9ED5">
            <w:pPr>
              <w:adjustRightInd w:val="0"/>
              <w:snapToGrid w:val="0"/>
              <w:jc w:val="center"/>
              <w:rPr>
                <w:rFonts w:eastAsiaTheme="minorEastAsia"/>
                <w:b/>
                <w:color w:val="auto"/>
                <w:sz w:val="18"/>
                <w:szCs w:val="18"/>
              </w:rPr>
            </w:pPr>
            <w:r>
              <w:rPr>
                <w:rFonts w:eastAsiaTheme="minorEastAsia"/>
                <w:b/>
                <w:color w:val="auto"/>
                <w:sz w:val="18"/>
                <w:szCs w:val="18"/>
              </w:rPr>
              <w:t>目详填）</w:t>
            </w:r>
          </w:p>
        </w:tc>
        <w:tc>
          <w:tcPr>
            <w:tcW w:w="521" w:type="pct"/>
            <w:gridSpan w:val="2"/>
            <w:tcMar>
              <w:left w:w="57" w:type="dxa"/>
              <w:right w:w="57" w:type="dxa"/>
            </w:tcMar>
            <w:vAlign w:val="center"/>
          </w:tcPr>
          <w:p w14:paraId="3A2C5C1F">
            <w:pPr>
              <w:adjustRightInd w:val="0"/>
              <w:snapToGrid w:val="0"/>
              <w:jc w:val="center"/>
              <w:rPr>
                <w:rFonts w:eastAsiaTheme="minorEastAsia"/>
                <w:color w:val="auto"/>
                <w:sz w:val="18"/>
                <w:szCs w:val="18"/>
              </w:rPr>
            </w:pPr>
            <w:r>
              <w:rPr>
                <w:rFonts w:eastAsiaTheme="minorEastAsia"/>
                <w:b/>
                <w:color w:val="auto"/>
                <w:sz w:val="18"/>
                <w:szCs w:val="18"/>
              </w:rPr>
              <w:t>污染物</w:t>
            </w:r>
          </w:p>
        </w:tc>
        <w:tc>
          <w:tcPr>
            <w:tcW w:w="172" w:type="pct"/>
            <w:tcMar>
              <w:left w:w="57" w:type="dxa"/>
              <w:right w:w="57" w:type="dxa"/>
            </w:tcMar>
            <w:vAlign w:val="center"/>
          </w:tcPr>
          <w:p w14:paraId="2C04A5EB">
            <w:pPr>
              <w:adjustRightInd w:val="0"/>
              <w:snapToGrid w:val="0"/>
              <w:jc w:val="center"/>
              <w:rPr>
                <w:rFonts w:eastAsiaTheme="minorEastAsia"/>
                <w:b/>
                <w:color w:val="auto"/>
                <w:sz w:val="18"/>
                <w:szCs w:val="18"/>
              </w:rPr>
            </w:pPr>
            <w:r>
              <w:rPr>
                <w:rFonts w:eastAsiaTheme="minorEastAsia"/>
                <w:b/>
                <w:color w:val="auto"/>
                <w:sz w:val="18"/>
                <w:szCs w:val="18"/>
              </w:rPr>
              <w:t>原有排放量(1)</w:t>
            </w:r>
          </w:p>
        </w:tc>
        <w:tc>
          <w:tcPr>
            <w:tcW w:w="428" w:type="pct"/>
            <w:tcMar>
              <w:left w:w="57" w:type="dxa"/>
              <w:right w:w="57" w:type="dxa"/>
            </w:tcMar>
            <w:vAlign w:val="center"/>
          </w:tcPr>
          <w:p w14:paraId="0F434E37">
            <w:pPr>
              <w:adjustRightInd w:val="0"/>
              <w:snapToGrid w:val="0"/>
              <w:jc w:val="center"/>
              <w:rPr>
                <w:rFonts w:eastAsiaTheme="minorEastAsia"/>
                <w:b/>
                <w:color w:val="auto"/>
                <w:sz w:val="18"/>
                <w:szCs w:val="18"/>
              </w:rPr>
            </w:pPr>
            <w:r>
              <w:rPr>
                <w:rFonts w:eastAsiaTheme="minorEastAsia"/>
                <w:b/>
                <w:color w:val="auto"/>
                <w:sz w:val="18"/>
                <w:szCs w:val="18"/>
              </w:rPr>
              <w:t>本期工程实际排放浓度(2)</w:t>
            </w:r>
          </w:p>
        </w:tc>
        <w:tc>
          <w:tcPr>
            <w:tcW w:w="339" w:type="pct"/>
            <w:tcMar>
              <w:left w:w="57" w:type="dxa"/>
              <w:right w:w="57" w:type="dxa"/>
            </w:tcMar>
            <w:vAlign w:val="center"/>
          </w:tcPr>
          <w:p w14:paraId="1809946A">
            <w:pPr>
              <w:adjustRightInd w:val="0"/>
              <w:snapToGrid w:val="0"/>
              <w:jc w:val="center"/>
              <w:rPr>
                <w:rFonts w:eastAsiaTheme="minorEastAsia"/>
                <w:b/>
                <w:color w:val="auto"/>
                <w:sz w:val="18"/>
                <w:szCs w:val="18"/>
              </w:rPr>
            </w:pPr>
            <w:r>
              <w:rPr>
                <w:rFonts w:eastAsiaTheme="minorEastAsia"/>
                <w:b/>
                <w:color w:val="auto"/>
                <w:sz w:val="18"/>
                <w:szCs w:val="18"/>
              </w:rPr>
              <w:t>本期工程允许排放浓度(3)</w:t>
            </w:r>
          </w:p>
        </w:tc>
        <w:tc>
          <w:tcPr>
            <w:tcW w:w="252" w:type="pct"/>
            <w:tcMar>
              <w:left w:w="57" w:type="dxa"/>
              <w:right w:w="57" w:type="dxa"/>
            </w:tcMar>
            <w:vAlign w:val="center"/>
          </w:tcPr>
          <w:p w14:paraId="07E0B8C4">
            <w:pPr>
              <w:adjustRightInd w:val="0"/>
              <w:snapToGrid w:val="0"/>
              <w:jc w:val="center"/>
              <w:rPr>
                <w:rFonts w:eastAsiaTheme="minorEastAsia"/>
                <w:b/>
                <w:color w:val="auto"/>
                <w:sz w:val="18"/>
                <w:szCs w:val="18"/>
              </w:rPr>
            </w:pPr>
            <w:r>
              <w:rPr>
                <w:rFonts w:eastAsiaTheme="minorEastAsia"/>
                <w:b/>
                <w:color w:val="auto"/>
                <w:sz w:val="18"/>
                <w:szCs w:val="18"/>
              </w:rPr>
              <w:t>本期工程产生量(4)</w:t>
            </w:r>
          </w:p>
        </w:tc>
        <w:tc>
          <w:tcPr>
            <w:tcW w:w="323" w:type="pct"/>
            <w:gridSpan w:val="2"/>
            <w:tcMar>
              <w:left w:w="57" w:type="dxa"/>
              <w:right w:w="57" w:type="dxa"/>
            </w:tcMar>
            <w:vAlign w:val="center"/>
          </w:tcPr>
          <w:p w14:paraId="65FEA837">
            <w:pPr>
              <w:adjustRightInd w:val="0"/>
              <w:snapToGrid w:val="0"/>
              <w:jc w:val="center"/>
              <w:rPr>
                <w:rFonts w:eastAsiaTheme="minorEastAsia"/>
                <w:b/>
                <w:color w:val="auto"/>
                <w:sz w:val="18"/>
                <w:szCs w:val="18"/>
              </w:rPr>
            </w:pPr>
            <w:r>
              <w:rPr>
                <w:rFonts w:eastAsiaTheme="minorEastAsia"/>
                <w:b/>
                <w:color w:val="auto"/>
                <w:sz w:val="18"/>
                <w:szCs w:val="18"/>
              </w:rPr>
              <w:t>本期工程自身削减量(5)</w:t>
            </w:r>
          </w:p>
        </w:tc>
        <w:tc>
          <w:tcPr>
            <w:tcW w:w="418" w:type="pct"/>
            <w:tcMar>
              <w:left w:w="57" w:type="dxa"/>
              <w:right w:w="57" w:type="dxa"/>
            </w:tcMar>
            <w:vAlign w:val="center"/>
          </w:tcPr>
          <w:p w14:paraId="451882A5">
            <w:pPr>
              <w:adjustRightInd w:val="0"/>
              <w:snapToGrid w:val="0"/>
              <w:jc w:val="center"/>
              <w:rPr>
                <w:rFonts w:eastAsiaTheme="minorEastAsia"/>
                <w:b/>
                <w:color w:val="auto"/>
                <w:sz w:val="18"/>
                <w:szCs w:val="18"/>
              </w:rPr>
            </w:pPr>
            <w:r>
              <w:rPr>
                <w:rFonts w:eastAsiaTheme="minorEastAsia"/>
                <w:b/>
                <w:color w:val="auto"/>
                <w:sz w:val="18"/>
                <w:szCs w:val="18"/>
              </w:rPr>
              <w:t>本期工程</w:t>
            </w:r>
          </w:p>
          <w:p w14:paraId="7E1F02C6">
            <w:pPr>
              <w:adjustRightInd w:val="0"/>
              <w:snapToGrid w:val="0"/>
              <w:jc w:val="center"/>
              <w:rPr>
                <w:rFonts w:eastAsiaTheme="minorEastAsia"/>
                <w:b/>
                <w:color w:val="auto"/>
                <w:sz w:val="18"/>
                <w:szCs w:val="18"/>
              </w:rPr>
            </w:pPr>
            <w:r>
              <w:rPr>
                <w:rFonts w:eastAsiaTheme="minorEastAsia"/>
                <w:b/>
                <w:color w:val="auto"/>
                <w:sz w:val="18"/>
                <w:szCs w:val="18"/>
              </w:rPr>
              <w:t>实际排放量(6)</w:t>
            </w:r>
          </w:p>
        </w:tc>
        <w:tc>
          <w:tcPr>
            <w:tcW w:w="240" w:type="pct"/>
            <w:gridSpan w:val="2"/>
            <w:tcMar>
              <w:left w:w="57" w:type="dxa"/>
              <w:right w:w="57" w:type="dxa"/>
            </w:tcMar>
            <w:vAlign w:val="center"/>
          </w:tcPr>
          <w:p w14:paraId="60E70356">
            <w:pPr>
              <w:adjustRightInd w:val="0"/>
              <w:snapToGrid w:val="0"/>
              <w:jc w:val="center"/>
              <w:rPr>
                <w:rFonts w:eastAsiaTheme="minorEastAsia"/>
                <w:b/>
                <w:color w:val="auto"/>
                <w:sz w:val="18"/>
                <w:szCs w:val="18"/>
              </w:rPr>
            </w:pPr>
            <w:r>
              <w:rPr>
                <w:rFonts w:eastAsiaTheme="minorEastAsia"/>
                <w:b/>
                <w:color w:val="auto"/>
                <w:sz w:val="18"/>
                <w:szCs w:val="18"/>
              </w:rPr>
              <w:t>本期工程核定排放总量(7)</w:t>
            </w:r>
          </w:p>
        </w:tc>
        <w:tc>
          <w:tcPr>
            <w:tcW w:w="766" w:type="pct"/>
            <w:tcMar>
              <w:left w:w="57" w:type="dxa"/>
              <w:right w:w="57" w:type="dxa"/>
            </w:tcMar>
            <w:vAlign w:val="center"/>
          </w:tcPr>
          <w:p w14:paraId="76969583">
            <w:pPr>
              <w:adjustRightInd w:val="0"/>
              <w:snapToGrid w:val="0"/>
              <w:jc w:val="center"/>
              <w:rPr>
                <w:rFonts w:eastAsiaTheme="minorEastAsia"/>
                <w:b/>
                <w:color w:val="auto"/>
                <w:sz w:val="18"/>
                <w:szCs w:val="18"/>
              </w:rPr>
            </w:pPr>
            <w:r>
              <w:rPr>
                <w:rFonts w:eastAsiaTheme="minorEastAsia"/>
                <w:b/>
                <w:color w:val="auto"/>
                <w:sz w:val="18"/>
                <w:szCs w:val="18"/>
              </w:rPr>
              <w:t>本期工程“以新带老”削减量(8)</w:t>
            </w:r>
          </w:p>
        </w:tc>
        <w:tc>
          <w:tcPr>
            <w:tcW w:w="310" w:type="pct"/>
            <w:tcMar>
              <w:left w:w="57" w:type="dxa"/>
              <w:right w:w="57" w:type="dxa"/>
            </w:tcMar>
            <w:vAlign w:val="center"/>
          </w:tcPr>
          <w:p w14:paraId="2EB648B4">
            <w:pPr>
              <w:adjustRightInd w:val="0"/>
              <w:snapToGrid w:val="0"/>
              <w:jc w:val="center"/>
              <w:rPr>
                <w:rFonts w:eastAsiaTheme="minorEastAsia"/>
                <w:b/>
                <w:color w:val="auto"/>
                <w:sz w:val="18"/>
                <w:szCs w:val="18"/>
              </w:rPr>
            </w:pPr>
            <w:r>
              <w:rPr>
                <w:rFonts w:eastAsiaTheme="minorEastAsia"/>
                <w:b/>
                <w:color w:val="auto"/>
                <w:sz w:val="18"/>
                <w:szCs w:val="18"/>
              </w:rPr>
              <w:t>全厂实际排放总量(9)</w:t>
            </w:r>
          </w:p>
        </w:tc>
        <w:tc>
          <w:tcPr>
            <w:tcW w:w="379" w:type="pct"/>
            <w:gridSpan w:val="2"/>
            <w:tcMar>
              <w:left w:w="57" w:type="dxa"/>
              <w:right w:w="57" w:type="dxa"/>
            </w:tcMar>
            <w:vAlign w:val="center"/>
          </w:tcPr>
          <w:p w14:paraId="3F008762">
            <w:pPr>
              <w:adjustRightInd w:val="0"/>
              <w:snapToGrid w:val="0"/>
              <w:jc w:val="center"/>
              <w:rPr>
                <w:rFonts w:eastAsiaTheme="minorEastAsia"/>
                <w:b/>
                <w:color w:val="auto"/>
                <w:sz w:val="18"/>
                <w:szCs w:val="18"/>
              </w:rPr>
            </w:pPr>
            <w:r>
              <w:rPr>
                <w:rFonts w:eastAsiaTheme="minorEastAsia"/>
                <w:b/>
                <w:color w:val="auto"/>
                <w:sz w:val="18"/>
                <w:szCs w:val="18"/>
              </w:rPr>
              <w:t>全厂核定排放总量(10)</w:t>
            </w:r>
          </w:p>
        </w:tc>
        <w:tc>
          <w:tcPr>
            <w:tcW w:w="358" w:type="pct"/>
            <w:gridSpan w:val="2"/>
            <w:tcMar>
              <w:left w:w="57" w:type="dxa"/>
              <w:right w:w="57" w:type="dxa"/>
            </w:tcMar>
            <w:vAlign w:val="center"/>
          </w:tcPr>
          <w:p w14:paraId="6BD2F1EE">
            <w:pPr>
              <w:adjustRightInd w:val="0"/>
              <w:snapToGrid w:val="0"/>
              <w:jc w:val="center"/>
              <w:rPr>
                <w:rFonts w:eastAsiaTheme="minorEastAsia"/>
                <w:b/>
                <w:color w:val="auto"/>
                <w:sz w:val="18"/>
                <w:szCs w:val="18"/>
              </w:rPr>
            </w:pPr>
            <w:r>
              <w:rPr>
                <w:rFonts w:eastAsiaTheme="minorEastAsia"/>
                <w:b/>
                <w:color w:val="auto"/>
                <w:sz w:val="18"/>
                <w:szCs w:val="18"/>
              </w:rPr>
              <w:t>区域平衡替代削减量(11)</w:t>
            </w:r>
          </w:p>
        </w:tc>
        <w:tc>
          <w:tcPr>
            <w:tcW w:w="314" w:type="pct"/>
            <w:tcMar>
              <w:left w:w="57" w:type="dxa"/>
              <w:right w:w="57" w:type="dxa"/>
            </w:tcMar>
            <w:vAlign w:val="center"/>
          </w:tcPr>
          <w:p w14:paraId="07B83A45">
            <w:pPr>
              <w:adjustRightInd w:val="0"/>
              <w:snapToGrid w:val="0"/>
              <w:jc w:val="center"/>
              <w:rPr>
                <w:rFonts w:eastAsiaTheme="minorEastAsia"/>
                <w:b/>
                <w:color w:val="auto"/>
                <w:sz w:val="18"/>
                <w:szCs w:val="18"/>
              </w:rPr>
            </w:pPr>
            <w:r>
              <w:rPr>
                <w:rFonts w:eastAsiaTheme="minorEastAsia"/>
                <w:b/>
                <w:color w:val="auto"/>
                <w:sz w:val="18"/>
                <w:szCs w:val="18"/>
              </w:rPr>
              <w:t>排放增减量(12)</w:t>
            </w:r>
          </w:p>
        </w:tc>
      </w:tr>
      <w:tr w14:paraId="5668E9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4" w:type="pct"/>
            <w:gridSpan w:val="2"/>
            <w:vMerge w:val="continue"/>
            <w:tcMar>
              <w:left w:w="57" w:type="dxa"/>
              <w:right w:w="57" w:type="dxa"/>
            </w:tcMar>
            <w:vAlign w:val="center"/>
          </w:tcPr>
          <w:p w14:paraId="6874E4BE">
            <w:pPr>
              <w:adjustRightInd w:val="0"/>
              <w:snapToGrid w:val="0"/>
              <w:jc w:val="center"/>
              <w:rPr>
                <w:rFonts w:eastAsiaTheme="minorEastAsia"/>
                <w:color w:val="auto"/>
                <w:sz w:val="18"/>
                <w:szCs w:val="18"/>
              </w:rPr>
            </w:pPr>
          </w:p>
        </w:tc>
        <w:tc>
          <w:tcPr>
            <w:tcW w:w="521" w:type="pct"/>
            <w:gridSpan w:val="2"/>
            <w:tcMar>
              <w:left w:w="57" w:type="dxa"/>
              <w:right w:w="57" w:type="dxa"/>
            </w:tcMar>
            <w:vAlign w:val="center"/>
          </w:tcPr>
          <w:p w14:paraId="6A0DC777">
            <w:pPr>
              <w:adjustRightInd w:val="0"/>
              <w:snapToGrid w:val="0"/>
              <w:jc w:val="center"/>
              <w:rPr>
                <w:rFonts w:eastAsiaTheme="minorEastAsia"/>
                <w:b/>
                <w:color w:val="auto"/>
                <w:sz w:val="18"/>
                <w:szCs w:val="18"/>
              </w:rPr>
            </w:pPr>
            <w:r>
              <w:rPr>
                <w:rFonts w:hint="eastAsia" w:eastAsiaTheme="minorEastAsia"/>
                <w:b/>
                <w:color w:val="auto"/>
                <w:sz w:val="18"/>
                <w:szCs w:val="18"/>
              </w:rPr>
              <w:t>非甲烷总烃</w:t>
            </w:r>
          </w:p>
        </w:tc>
        <w:tc>
          <w:tcPr>
            <w:tcW w:w="172" w:type="pct"/>
            <w:tcMar>
              <w:left w:w="57" w:type="dxa"/>
              <w:right w:w="57" w:type="dxa"/>
            </w:tcMar>
            <w:vAlign w:val="center"/>
          </w:tcPr>
          <w:p w14:paraId="3775E233">
            <w:pPr>
              <w:adjustRightInd w:val="0"/>
              <w:snapToGrid w:val="0"/>
              <w:jc w:val="center"/>
              <w:rPr>
                <w:rFonts w:eastAsiaTheme="minorEastAsia"/>
                <w:color w:val="auto"/>
                <w:sz w:val="18"/>
                <w:szCs w:val="18"/>
              </w:rPr>
            </w:pPr>
            <w:r>
              <w:rPr>
                <w:rFonts w:eastAsiaTheme="minorEastAsia"/>
                <w:color w:val="auto"/>
                <w:sz w:val="18"/>
                <w:szCs w:val="18"/>
              </w:rPr>
              <w:t>/</w:t>
            </w:r>
          </w:p>
        </w:tc>
        <w:tc>
          <w:tcPr>
            <w:tcW w:w="428" w:type="pct"/>
            <w:tcMar>
              <w:left w:w="57" w:type="dxa"/>
              <w:right w:w="57" w:type="dxa"/>
            </w:tcMar>
            <w:vAlign w:val="center"/>
          </w:tcPr>
          <w:p w14:paraId="572F63D5">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5.38</w:t>
            </w:r>
          </w:p>
        </w:tc>
        <w:tc>
          <w:tcPr>
            <w:tcW w:w="339" w:type="pct"/>
            <w:tcMar>
              <w:left w:w="57" w:type="dxa"/>
              <w:right w:w="57" w:type="dxa"/>
            </w:tcMar>
            <w:vAlign w:val="center"/>
          </w:tcPr>
          <w:p w14:paraId="6629ED7A">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80</w:t>
            </w:r>
          </w:p>
        </w:tc>
        <w:tc>
          <w:tcPr>
            <w:tcW w:w="252" w:type="pct"/>
            <w:tcMar>
              <w:left w:w="57" w:type="dxa"/>
              <w:right w:w="57" w:type="dxa"/>
            </w:tcMar>
            <w:vAlign w:val="center"/>
          </w:tcPr>
          <w:p w14:paraId="4F8FF1EA">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c>
          <w:tcPr>
            <w:tcW w:w="323" w:type="pct"/>
            <w:gridSpan w:val="2"/>
            <w:tcMar>
              <w:left w:w="57" w:type="dxa"/>
              <w:right w:w="57" w:type="dxa"/>
            </w:tcMar>
            <w:vAlign w:val="center"/>
          </w:tcPr>
          <w:p w14:paraId="58A1728A">
            <w:pPr>
              <w:adjustRightInd w:val="0"/>
              <w:snapToGrid w:val="0"/>
              <w:jc w:val="center"/>
              <w:rPr>
                <w:rFonts w:eastAsiaTheme="minorEastAsia"/>
                <w:color w:val="auto"/>
                <w:sz w:val="18"/>
                <w:szCs w:val="18"/>
              </w:rPr>
            </w:pPr>
            <w:r>
              <w:rPr>
                <w:rFonts w:eastAsiaTheme="minorEastAsia"/>
                <w:color w:val="auto"/>
                <w:sz w:val="18"/>
                <w:szCs w:val="18"/>
              </w:rPr>
              <w:t>/</w:t>
            </w:r>
          </w:p>
        </w:tc>
        <w:tc>
          <w:tcPr>
            <w:tcW w:w="418" w:type="pct"/>
            <w:tcMar>
              <w:left w:w="57" w:type="dxa"/>
              <w:right w:w="57" w:type="dxa"/>
            </w:tcMar>
            <w:vAlign w:val="center"/>
          </w:tcPr>
          <w:p w14:paraId="28BD0CD0">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0.3384</w:t>
            </w:r>
          </w:p>
        </w:tc>
        <w:tc>
          <w:tcPr>
            <w:tcW w:w="240" w:type="pct"/>
            <w:gridSpan w:val="2"/>
            <w:tcMar>
              <w:left w:w="57" w:type="dxa"/>
              <w:right w:w="57" w:type="dxa"/>
            </w:tcMar>
            <w:vAlign w:val="center"/>
          </w:tcPr>
          <w:p w14:paraId="4BE16B95">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0.815</w:t>
            </w:r>
          </w:p>
        </w:tc>
        <w:tc>
          <w:tcPr>
            <w:tcW w:w="766" w:type="pct"/>
            <w:tcMar>
              <w:left w:w="57" w:type="dxa"/>
              <w:right w:w="57" w:type="dxa"/>
            </w:tcMar>
            <w:vAlign w:val="center"/>
          </w:tcPr>
          <w:p w14:paraId="2947A936">
            <w:pPr>
              <w:adjustRightInd w:val="0"/>
              <w:snapToGrid w:val="0"/>
              <w:jc w:val="center"/>
              <w:rPr>
                <w:rFonts w:eastAsiaTheme="minorEastAsia"/>
                <w:color w:val="auto"/>
                <w:sz w:val="18"/>
                <w:szCs w:val="18"/>
              </w:rPr>
            </w:pPr>
            <w:r>
              <w:rPr>
                <w:rFonts w:eastAsiaTheme="minorEastAsia"/>
                <w:color w:val="auto"/>
                <w:sz w:val="18"/>
                <w:szCs w:val="18"/>
              </w:rPr>
              <w:t>/</w:t>
            </w:r>
          </w:p>
        </w:tc>
        <w:tc>
          <w:tcPr>
            <w:tcW w:w="875" w:type="dxa"/>
            <w:tcMar>
              <w:left w:w="57" w:type="dxa"/>
              <w:right w:w="57" w:type="dxa"/>
            </w:tcMar>
            <w:vAlign w:val="center"/>
          </w:tcPr>
          <w:p w14:paraId="7DDE87F5">
            <w:pPr>
              <w:adjustRightInd w:val="0"/>
              <w:snapToGrid w:val="0"/>
              <w:jc w:val="center"/>
              <w:rPr>
                <w:rFonts w:hint="default" w:eastAsiaTheme="minorEastAsia"/>
                <w:color w:val="auto"/>
                <w:sz w:val="18"/>
                <w:szCs w:val="18"/>
                <w:lang w:val="en-US"/>
              </w:rPr>
            </w:pPr>
            <w:r>
              <w:rPr>
                <w:rFonts w:hint="eastAsia" w:eastAsiaTheme="minorEastAsia"/>
                <w:color w:val="auto"/>
                <w:sz w:val="18"/>
                <w:szCs w:val="18"/>
                <w:lang w:val="en-US" w:eastAsia="zh-CN"/>
              </w:rPr>
              <w:t>0.3384</w:t>
            </w:r>
          </w:p>
        </w:tc>
        <w:tc>
          <w:tcPr>
            <w:tcW w:w="1071" w:type="dxa"/>
            <w:gridSpan w:val="2"/>
            <w:tcMar>
              <w:left w:w="57" w:type="dxa"/>
              <w:right w:w="57" w:type="dxa"/>
            </w:tcMar>
            <w:vAlign w:val="center"/>
          </w:tcPr>
          <w:p w14:paraId="4F794B14">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0.815</w:t>
            </w:r>
          </w:p>
        </w:tc>
        <w:tc>
          <w:tcPr>
            <w:tcW w:w="358" w:type="pct"/>
            <w:gridSpan w:val="2"/>
            <w:tcMar>
              <w:left w:w="57" w:type="dxa"/>
              <w:right w:w="57" w:type="dxa"/>
            </w:tcMar>
            <w:vAlign w:val="center"/>
          </w:tcPr>
          <w:p w14:paraId="00428766">
            <w:pPr>
              <w:adjustRightInd w:val="0"/>
              <w:snapToGrid w:val="0"/>
              <w:jc w:val="center"/>
              <w:rPr>
                <w:rFonts w:eastAsiaTheme="minorEastAsia"/>
                <w:color w:val="auto"/>
                <w:sz w:val="18"/>
                <w:szCs w:val="18"/>
              </w:rPr>
            </w:pPr>
            <w:r>
              <w:rPr>
                <w:rFonts w:eastAsiaTheme="minorEastAsia"/>
                <w:color w:val="auto"/>
                <w:sz w:val="18"/>
                <w:szCs w:val="18"/>
              </w:rPr>
              <w:t>/</w:t>
            </w:r>
          </w:p>
        </w:tc>
        <w:tc>
          <w:tcPr>
            <w:tcW w:w="314" w:type="pct"/>
            <w:tcMar>
              <w:left w:w="57" w:type="dxa"/>
              <w:right w:w="57" w:type="dxa"/>
            </w:tcMar>
            <w:vAlign w:val="center"/>
          </w:tcPr>
          <w:p w14:paraId="14CB3608">
            <w:pPr>
              <w:adjustRightInd w:val="0"/>
              <w:snapToGrid w:val="0"/>
              <w:jc w:val="center"/>
              <w:rPr>
                <w:rFonts w:eastAsiaTheme="minorEastAsia"/>
                <w:color w:val="auto"/>
                <w:sz w:val="18"/>
                <w:szCs w:val="18"/>
              </w:rPr>
            </w:pPr>
            <w:r>
              <w:rPr>
                <w:rFonts w:eastAsiaTheme="minorEastAsia"/>
                <w:color w:val="auto"/>
                <w:sz w:val="18"/>
                <w:szCs w:val="18"/>
              </w:rPr>
              <w:t>/</w:t>
            </w:r>
          </w:p>
        </w:tc>
      </w:tr>
      <w:tr w14:paraId="0EF73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4" w:type="pct"/>
            <w:gridSpan w:val="2"/>
            <w:vMerge w:val="continue"/>
            <w:tcMar>
              <w:left w:w="57" w:type="dxa"/>
              <w:right w:w="57" w:type="dxa"/>
            </w:tcMar>
            <w:vAlign w:val="center"/>
          </w:tcPr>
          <w:p w14:paraId="7369C6EA">
            <w:pPr>
              <w:adjustRightInd w:val="0"/>
              <w:snapToGrid w:val="0"/>
              <w:jc w:val="center"/>
              <w:rPr>
                <w:rFonts w:eastAsiaTheme="minorEastAsia"/>
                <w:color w:val="auto"/>
                <w:sz w:val="18"/>
                <w:szCs w:val="18"/>
              </w:rPr>
            </w:pPr>
          </w:p>
        </w:tc>
        <w:tc>
          <w:tcPr>
            <w:tcW w:w="521" w:type="pct"/>
            <w:gridSpan w:val="2"/>
            <w:tcMar>
              <w:left w:w="57" w:type="dxa"/>
              <w:right w:w="57" w:type="dxa"/>
            </w:tcMar>
            <w:vAlign w:val="center"/>
          </w:tcPr>
          <w:p w14:paraId="176FFB6F">
            <w:pPr>
              <w:adjustRightInd w:val="0"/>
              <w:snapToGrid w:val="0"/>
              <w:jc w:val="center"/>
              <w:rPr>
                <w:rFonts w:hint="eastAsia" w:eastAsiaTheme="minorEastAsia"/>
                <w:b/>
                <w:color w:val="auto"/>
                <w:sz w:val="18"/>
                <w:szCs w:val="18"/>
                <w:lang w:eastAsia="zh-CN"/>
              </w:rPr>
            </w:pPr>
            <w:r>
              <w:rPr>
                <w:rFonts w:hint="eastAsia" w:eastAsiaTheme="minorEastAsia"/>
                <w:b/>
                <w:color w:val="auto"/>
                <w:sz w:val="18"/>
                <w:szCs w:val="18"/>
                <w:lang w:eastAsia="zh-CN"/>
              </w:rPr>
              <w:t>颗粒物</w:t>
            </w:r>
          </w:p>
        </w:tc>
        <w:tc>
          <w:tcPr>
            <w:tcW w:w="172" w:type="pct"/>
            <w:tcMar>
              <w:left w:w="57" w:type="dxa"/>
              <w:right w:w="57" w:type="dxa"/>
            </w:tcMar>
            <w:vAlign w:val="center"/>
          </w:tcPr>
          <w:p w14:paraId="754C8C39">
            <w:pPr>
              <w:adjustRightInd w:val="0"/>
              <w:snapToGrid w:val="0"/>
              <w:jc w:val="center"/>
              <w:rPr>
                <w:rFonts w:eastAsiaTheme="minorEastAsia"/>
                <w:color w:val="auto"/>
                <w:sz w:val="18"/>
                <w:szCs w:val="18"/>
              </w:rPr>
            </w:pPr>
            <w:r>
              <w:rPr>
                <w:rFonts w:eastAsiaTheme="minorEastAsia"/>
                <w:color w:val="auto"/>
                <w:sz w:val="18"/>
                <w:szCs w:val="18"/>
              </w:rPr>
              <w:t>/</w:t>
            </w:r>
          </w:p>
        </w:tc>
        <w:tc>
          <w:tcPr>
            <w:tcW w:w="428" w:type="pct"/>
            <w:tcMar>
              <w:left w:w="57" w:type="dxa"/>
              <w:right w:w="57" w:type="dxa"/>
            </w:tcMar>
            <w:vAlign w:val="center"/>
          </w:tcPr>
          <w:p w14:paraId="6011A3EA">
            <w:pPr>
              <w:adjustRightInd w:val="0"/>
              <w:snapToGrid w:val="0"/>
              <w:jc w:val="center"/>
              <w:rPr>
                <w:rFonts w:hint="eastAsia" w:eastAsiaTheme="minorEastAsia"/>
                <w:color w:val="auto"/>
                <w:sz w:val="18"/>
                <w:szCs w:val="18"/>
                <w:lang w:eastAsia="zh-CN"/>
              </w:rPr>
            </w:pPr>
            <w:r>
              <w:rPr>
                <w:rFonts w:hint="eastAsia" w:eastAsiaTheme="minorEastAsia"/>
                <w:color w:val="auto"/>
                <w:sz w:val="18"/>
                <w:szCs w:val="18"/>
                <w:lang w:val="en-US" w:eastAsia="zh-CN"/>
              </w:rPr>
              <w:t>/</w:t>
            </w:r>
          </w:p>
        </w:tc>
        <w:tc>
          <w:tcPr>
            <w:tcW w:w="339" w:type="pct"/>
            <w:tcMar>
              <w:left w:w="57" w:type="dxa"/>
              <w:right w:w="57" w:type="dxa"/>
            </w:tcMar>
            <w:vAlign w:val="center"/>
          </w:tcPr>
          <w:p w14:paraId="42B05AC4">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252" w:type="pct"/>
            <w:tcMar>
              <w:left w:w="57" w:type="dxa"/>
              <w:right w:w="57" w:type="dxa"/>
            </w:tcMar>
            <w:vAlign w:val="center"/>
          </w:tcPr>
          <w:p w14:paraId="504BEAC6">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c>
          <w:tcPr>
            <w:tcW w:w="323" w:type="pct"/>
            <w:gridSpan w:val="2"/>
            <w:tcMar>
              <w:left w:w="57" w:type="dxa"/>
              <w:right w:w="57" w:type="dxa"/>
            </w:tcMar>
            <w:vAlign w:val="center"/>
          </w:tcPr>
          <w:p w14:paraId="1BE61693">
            <w:pPr>
              <w:adjustRightInd w:val="0"/>
              <w:snapToGrid w:val="0"/>
              <w:jc w:val="center"/>
              <w:rPr>
                <w:rFonts w:eastAsiaTheme="minorEastAsia"/>
                <w:color w:val="auto"/>
                <w:sz w:val="18"/>
                <w:szCs w:val="18"/>
              </w:rPr>
            </w:pPr>
            <w:r>
              <w:rPr>
                <w:rFonts w:eastAsiaTheme="minorEastAsia"/>
                <w:color w:val="auto"/>
                <w:sz w:val="18"/>
                <w:szCs w:val="18"/>
              </w:rPr>
              <w:t>/</w:t>
            </w:r>
          </w:p>
        </w:tc>
        <w:tc>
          <w:tcPr>
            <w:tcW w:w="418" w:type="pct"/>
            <w:tcMar>
              <w:left w:w="57" w:type="dxa"/>
              <w:right w:w="57" w:type="dxa"/>
            </w:tcMar>
            <w:vAlign w:val="center"/>
          </w:tcPr>
          <w:p w14:paraId="76B3552C">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c>
          <w:tcPr>
            <w:tcW w:w="240" w:type="pct"/>
            <w:gridSpan w:val="2"/>
            <w:tcMar>
              <w:left w:w="57" w:type="dxa"/>
              <w:right w:w="57" w:type="dxa"/>
            </w:tcMar>
            <w:vAlign w:val="center"/>
          </w:tcPr>
          <w:p w14:paraId="00634DEF">
            <w:pPr>
              <w:adjustRightInd w:val="0"/>
              <w:snapToGrid w:val="0"/>
              <w:jc w:val="center"/>
              <w:rPr>
                <w:rFonts w:hint="default" w:eastAsiaTheme="minorEastAsia"/>
                <w:color w:val="auto"/>
                <w:sz w:val="18"/>
                <w:szCs w:val="18"/>
                <w:lang w:val="en-US" w:eastAsia="zh-CN"/>
              </w:rPr>
            </w:pPr>
            <w:r>
              <w:rPr>
                <w:rFonts w:eastAsiaTheme="minorEastAsia"/>
                <w:color w:val="auto"/>
                <w:sz w:val="18"/>
                <w:szCs w:val="18"/>
              </w:rPr>
              <w:t>/</w:t>
            </w:r>
          </w:p>
        </w:tc>
        <w:tc>
          <w:tcPr>
            <w:tcW w:w="766" w:type="pct"/>
            <w:tcMar>
              <w:left w:w="57" w:type="dxa"/>
              <w:right w:w="57" w:type="dxa"/>
            </w:tcMar>
            <w:vAlign w:val="center"/>
          </w:tcPr>
          <w:p w14:paraId="21410C5C">
            <w:pPr>
              <w:adjustRightInd w:val="0"/>
              <w:snapToGrid w:val="0"/>
              <w:jc w:val="center"/>
              <w:rPr>
                <w:rFonts w:eastAsiaTheme="minorEastAsia"/>
                <w:color w:val="auto"/>
                <w:sz w:val="18"/>
                <w:szCs w:val="18"/>
              </w:rPr>
            </w:pPr>
            <w:r>
              <w:rPr>
                <w:rFonts w:eastAsiaTheme="minorEastAsia"/>
                <w:color w:val="auto"/>
                <w:sz w:val="18"/>
                <w:szCs w:val="18"/>
              </w:rPr>
              <w:t>/</w:t>
            </w:r>
          </w:p>
        </w:tc>
        <w:tc>
          <w:tcPr>
            <w:tcW w:w="310" w:type="pct"/>
            <w:tcMar>
              <w:left w:w="57" w:type="dxa"/>
              <w:right w:w="57" w:type="dxa"/>
            </w:tcMar>
            <w:vAlign w:val="center"/>
          </w:tcPr>
          <w:p w14:paraId="11C12205">
            <w:pPr>
              <w:adjustRightInd w:val="0"/>
              <w:snapToGrid w:val="0"/>
              <w:jc w:val="center"/>
              <w:rPr>
                <w:rFonts w:eastAsiaTheme="minorEastAsia"/>
                <w:color w:val="auto"/>
                <w:sz w:val="18"/>
                <w:szCs w:val="18"/>
              </w:rPr>
            </w:pPr>
            <w:r>
              <w:rPr>
                <w:rFonts w:hint="eastAsia" w:eastAsiaTheme="minorEastAsia"/>
                <w:color w:val="auto"/>
                <w:sz w:val="18"/>
                <w:szCs w:val="18"/>
                <w:lang w:val="en-US" w:eastAsia="zh-CN"/>
              </w:rPr>
              <w:t>/</w:t>
            </w:r>
          </w:p>
        </w:tc>
        <w:tc>
          <w:tcPr>
            <w:tcW w:w="379" w:type="pct"/>
            <w:gridSpan w:val="2"/>
            <w:tcMar>
              <w:left w:w="57" w:type="dxa"/>
              <w:right w:w="57" w:type="dxa"/>
            </w:tcMar>
            <w:vAlign w:val="center"/>
          </w:tcPr>
          <w:p w14:paraId="3A886282">
            <w:pPr>
              <w:adjustRightInd w:val="0"/>
              <w:snapToGrid w:val="0"/>
              <w:jc w:val="center"/>
              <w:rPr>
                <w:rFonts w:eastAsiaTheme="minorEastAsia"/>
                <w:color w:val="auto"/>
                <w:sz w:val="18"/>
                <w:szCs w:val="18"/>
              </w:rPr>
            </w:pPr>
            <w:r>
              <w:rPr>
                <w:rFonts w:eastAsiaTheme="minorEastAsia"/>
                <w:color w:val="auto"/>
                <w:sz w:val="18"/>
                <w:szCs w:val="18"/>
              </w:rPr>
              <w:t>/</w:t>
            </w:r>
          </w:p>
        </w:tc>
        <w:tc>
          <w:tcPr>
            <w:tcW w:w="358" w:type="pct"/>
            <w:gridSpan w:val="2"/>
            <w:tcMar>
              <w:left w:w="57" w:type="dxa"/>
              <w:right w:w="57" w:type="dxa"/>
            </w:tcMar>
            <w:vAlign w:val="center"/>
          </w:tcPr>
          <w:p w14:paraId="46C4E4E2">
            <w:pPr>
              <w:adjustRightInd w:val="0"/>
              <w:snapToGrid w:val="0"/>
              <w:jc w:val="center"/>
              <w:rPr>
                <w:rFonts w:eastAsiaTheme="minorEastAsia"/>
                <w:color w:val="auto"/>
                <w:sz w:val="18"/>
                <w:szCs w:val="18"/>
              </w:rPr>
            </w:pPr>
            <w:r>
              <w:rPr>
                <w:rFonts w:eastAsiaTheme="minorEastAsia"/>
                <w:color w:val="auto"/>
                <w:sz w:val="18"/>
                <w:szCs w:val="18"/>
              </w:rPr>
              <w:t>/</w:t>
            </w:r>
          </w:p>
        </w:tc>
        <w:tc>
          <w:tcPr>
            <w:tcW w:w="314" w:type="pct"/>
            <w:tcMar>
              <w:left w:w="57" w:type="dxa"/>
              <w:right w:w="57" w:type="dxa"/>
            </w:tcMar>
            <w:vAlign w:val="center"/>
          </w:tcPr>
          <w:p w14:paraId="77718DC5">
            <w:pPr>
              <w:adjustRightInd w:val="0"/>
              <w:snapToGrid w:val="0"/>
              <w:jc w:val="center"/>
              <w:rPr>
                <w:rFonts w:eastAsiaTheme="minorEastAsia"/>
                <w:color w:val="auto"/>
                <w:sz w:val="18"/>
                <w:szCs w:val="18"/>
              </w:rPr>
            </w:pPr>
            <w:r>
              <w:rPr>
                <w:rFonts w:eastAsiaTheme="minorEastAsia"/>
                <w:color w:val="auto"/>
                <w:sz w:val="18"/>
                <w:szCs w:val="18"/>
              </w:rPr>
              <w:t>/</w:t>
            </w:r>
          </w:p>
        </w:tc>
      </w:tr>
      <w:tr w14:paraId="4CD05D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74" w:type="pct"/>
            <w:gridSpan w:val="2"/>
            <w:vMerge w:val="continue"/>
            <w:tcMar>
              <w:left w:w="57" w:type="dxa"/>
              <w:right w:w="57" w:type="dxa"/>
            </w:tcMar>
            <w:vAlign w:val="center"/>
          </w:tcPr>
          <w:p w14:paraId="105F88AD">
            <w:pPr>
              <w:adjustRightInd w:val="0"/>
              <w:snapToGrid w:val="0"/>
              <w:jc w:val="center"/>
              <w:rPr>
                <w:rFonts w:eastAsiaTheme="minorEastAsia"/>
                <w:color w:val="auto"/>
                <w:sz w:val="18"/>
                <w:szCs w:val="18"/>
              </w:rPr>
            </w:pPr>
          </w:p>
        </w:tc>
        <w:tc>
          <w:tcPr>
            <w:tcW w:w="521" w:type="pct"/>
            <w:gridSpan w:val="2"/>
            <w:tcMar>
              <w:left w:w="57" w:type="dxa"/>
              <w:right w:w="57" w:type="dxa"/>
            </w:tcMar>
            <w:vAlign w:val="center"/>
          </w:tcPr>
          <w:p w14:paraId="29259687">
            <w:pPr>
              <w:adjustRightInd w:val="0"/>
              <w:snapToGrid w:val="0"/>
              <w:jc w:val="center"/>
              <w:rPr>
                <w:rFonts w:eastAsiaTheme="minorEastAsia"/>
                <w:b/>
                <w:color w:val="auto"/>
                <w:sz w:val="18"/>
                <w:szCs w:val="18"/>
              </w:rPr>
            </w:pPr>
            <w:r>
              <w:rPr>
                <w:rFonts w:eastAsiaTheme="minorEastAsia"/>
                <w:b/>
                <w:color w:val="auto"/>
                <w:sz w:val="18"/>
                <w:szCs w:val="18"/>
              </w:rPr>
              <w:t>固体废物</w:t>
            </w:r>
          </w:p>
        </w:tc>
        <w:tc>
          <w:tcPr>
            <w:tcW w:w="172" w:type="pct"/>
            <w:tcMar>
              <w:left w:w="57" w:type="dxa"/>
              <w:right w:w="57" w:type="dxa"/>
            </w:tcMar>
            <w:vAlign w:val="center"/>
          </w:tcPr>
          <w:p w14:paraId="615371D8">
            <w:pPr>
              <w:adjustRightInd w:val="0"/>
              <w:snapToGrid w:val="0"/>
              <w:jc w:val="center"/>
              <w:rPr>
                <w:rFonts w:eastAsiaTheme="minorEastAsia"/>
                <w:color w:val="auto"/>
                <w:sz w:val="18"/>
                <w:szCs w:val="18"/>
              </w:rPr>
            </w:pPr>
            <w:r>
              <w:rPr>
                <w:rFonts w:eastAsiaTheme="minorEastAsia"/>
                <w:color w:val="auto"/>
                <w:sz w:val="18"/>
                <w:szCs w:val="18"/>
              </w:rPr>
              <w:t>/</w:t>
            </w:r>
          </w:p>
        </w:tc>
        <w:tc>
          <w:tcPr>
            <w:tcW w:w="428" w:type="pct"/>
            <w:tcMar>
              <w:left w:w="57" w:type="dxa"/>
              <w:right w:w="57" w:type="dxa"/>
            </w:tcMar>
            <w:vAlign w:val="center"/>
          </w:tcPr>
          <w:p w14:paraId="12E786F1">
            <w:pPr>
              <w:adjustRightInd w:val="0"/>
              <w:snapToGrid w:val="0"/>
              <w:jc w:val="center"/>
              <w:rPr>
                <w:rFonts w:eastAsiaTheme="minorEastAsia"/>
                <w:color w:val="auto"/>
                <w:sz w:val="18"/>
                <w:szCs w:val="18"/>
              </w:rPr>
            </w:pPr>
            <w:r>
              <w:rPr>
                <w:rFonts w:eastAsiaTheme="minorEastAsia"/>
                <w:color w:val="auto"/>
                <w:sz w:val="18"/>
                <w:szCs w:val="18"/>
              </w:rPr>
              <w:t>/</w:t>
            </w:r>
          </w:p>
        </w:tc>
        <w:tc>
          <w:tcPr>
            <w:tcW w:w="339" w:type="pct"/>
            <w:tcMar>
              <w:left w:w="57" w:type="dxa"/>
              <w:right w:w="57" w:type="dxa"/>
            </w:tcMar>
            <w:vAlign w:val="center"/>
          </w:tcPr>
          <w:p w14:paraId="52886510">
            <w:pPr>
              <w:adjustRightInd w:val="0"/>
              <w:snapToGrid w:val="0"/>
              <w:jc w:val="center"/>
              <w:rPr>
                <w:rFonts w:eastAsiaTheme="minorEastAsia"/>
                <w:color w:val="auto"/>
                <w:sz w:val="18"/>
                <w:szCs w:val="18"/>
              </w:rPr>
            </w:pPr>
            <w:r>
              <w:rPr>
                <w:rFonts w:eastAsiaTheme="minorEastAsia"/>
                <w:color w:val="auto"/>
                <w:sz w:val="18"/>
                <w:szCs w:val="18"/>
              </w:rPr>
              <w:t>/</w:t>
            </w:r>
          </w:p>
        </w:tc>
        <w:tc>
          <w:tcPr>
            <w:tcW w:w="252" w:type="pct"/>
            <w:tcMar>
              <w:left w:w="57" w:type="dxa"/>
              <w:right w:w="57" w:type="dxa"/>
            </w:tcMar>
            <w:vAlign w:val="center"/>
          </w:tcPr>
          <w:p w14:paraId="071990B8">
            <w:pPr>
              <w:adjustRightInd w:val="0"/>
              <w:snapToGrid w:val="0"/>
              <w:jc w:val="center"/>
              <w:rPr>
                <w:rFonts w:hint="default" w:eastAsiaTheme="minorEastAsia"/>
                <w:color w:val="000000" w:themeColor="text1"/>
                <w:sz w:val="18"/>
                <w:szCs w:val="18"/>
                <w:lang w:val="en-US" w:eastAsia="zh-CN"/>
                <w14:textFill>
                  <w14:solidFill>
                    <w14:schemeClr w14:val="tx1"/>
                  </w14:solidFill>
                </w14:textFill>
              </w:rPr>
            </w:pPr>
            <w:r>
              <w:rPr>
                <w:rFonts w:hint="eastAsia" w:eastAsiaTheme="minorEastAsia"/>
                <w:color w:val="000000" w:themeColor="text1"/>
                <w:sz w:val="18"/>
                <w:szCs w:val="18"/>
                <w:lang w:val="en-US" w:eastAsia="zh-CN"/>
                <w14:textFill>
                  <w14:solidFill>
                    <w14:schemeClr w14:val="tx1"/>
                  </w14:solidFill>
                </w14:textFill>
              </w:rPr>
              <w:t>/</w:t>
            </w:r>
          </w:p>
        </w:tc>
        <w:tc>
          <w:tcPr>
            <w:tcW w:w="323" w:type="pct"/>
            <w:gridSpan w:val="2"/>
            <w:tcMar>
              <w:left w:w="57" w:type="dxa"/>
              <w:right w:w="57" w:type="dxa"/>
            </w:tcMar>
            <w:vAlign w:val="center"/>
          </w:tcPr>
          <w:p w14:paraId="1F9B37F8">
            <w:pPr>
              <w:adjustRightInd w:val="0"/>
              <w:snapToGrid w:val="0"/>
              <w:jc w:val="center"/>
              <w:rPr>
                <w:rFonts w:hint="eastAsia" w:eastAsiaTheme="minorEastAsia"/>
                <w:color w:val="000000" w:themeColor="text1"/>
                <w:sz w:val="18"/>
                <w:szCs w:val="18"/>
                <w:lang w:val="en-US" w:eastAsia="zh-CN"/>
                <w14:textFill>
                  <w14:solidFill>
                    <w14:schemeClr w14:val="tx1"/>
                  </w14:solidFill>
                </w14:textFill>
              </w:rPr>
            </w:pPr>
            <w:r>
              <w:rPr>
                <w:rFonts w:hint="eastAsia" w:eastAsiaTheme="minorEastAsia"/>
                <w:color w:val="000000" w:themeColor="text1"/>
                <w:sz w:val="18"/>
                <w:szCs w:val="18"/>
                <w:lang w:val="en-US" w:eastAsia="zh-CN"/>
                <w14:textFill>
                  <w14:solidFill>
                    <w14:schemeClr w14:val="tx1"/>
                  </w14:solidFill>
                </w14:textFill>
              </w:rPr>
              <w:t>/</w:t>
            </w:r>
          </w:p>
        </w:tc>
        <w:tc>
          <w:tcPr>
            <w:tcW w:w="418" w:type="pct"/>
            <w:tcMar>
              <w:left w:w="57" w:type="dxa"/>
              <w:right w:w="57" w:type="dxa"/>
            </w:tcMar>
            <w:vAlign w:val="center"/>
          </w:tcPr>
          <w:p w14:paraId="4AE9B00E">
            <w:pPr>
              <w:adjustRightInd w:val="0"/>
              <w:snapToGrid w:val="0"/>
              <w:jc w:val="center"/>
              <w:rPr>
                <w:rFonts w:hint="default" w:eastAsiaTheme="minorEastAsia"/>
                <w:color w:val="000000" w:themeColor="text1"/>
                <w:sz w:val="18"/>
                <w:szCs w:val="18"/>
                <w:lang w:val="en-US" w:eastAsia="zh-CN"/>
                <w14:textFill>
                  <w14:solidFill>
                    <w14:schemeClr w14:val="tx1"/>
                  </w14:solidFill>
                </w14:textFill>
              </w:rPr>
            </w:pPr>
            <w:r>
              <w:rPr>
                <w:rFonts w:hint="eastAsia" w:eastAsiaTheme="minorEastAsia"/>
                <w:color w:val="000000" w:themeColor="text1"/>
                <w:sz w:val="18"/>
                <w:szCs w:val="18"/>
                <w:lang w:val="en-US" w:eastAsia="zh-CN"/>
                <w14:textFill>
                  <w14:solidFill>
                    <w14:schemeClr w14:val="tx1"/>
                  </w14:solidFill>
                </w14:textFill>
              </w:rPr>
              <w:t>/</w:t>
            </w:r>
          </w:p>
        </w:tc>
        <w:tc>
          <w:tcPr>
            <w:tcW w:w="240" w:type="pct"/>
            <w:gridSpan w:val="2"/>
            <w:tcMar>
              <w:left w:w="57" w:type="dxa"/>
              <w:right w:w="57" w:type="dxa"/>
            </w:tcMar>
            <w:vAlign w:val="center"/>
          </w:tcPr>
          <w:p w14:paraId="6ADF4DC6">
            <w:pPr>
              <w:adjustRightInd w:val="0"/>
              <w:snapToGrid w:val="0"/>
              <w:jc w:val="center"/>
              <w:rPr>
                <w:rFonts w:hint="default" w:eastAsiaTheme="minorEastAsia"/>
                <w:color w:val="000000" w:themeColor="text1"/>
                <w:sz w:val="18"/>
                <w:szCs w:val="18"/>
                <w:lang w:val="en-US" w:eastAsia="zh-CN"/>
                <w14:textFill>
                  <w14:solidFill>
                    <w14:schemeClr w14:val="tx1"/>
                  </w14:solidFill>
                </w14:textFill>
              </w:rPr>
            </w:pPr>
            <w:r>
              <w:rPr>
                <w:rFonts w:hint="eastAsia" w:eastAsiaTheme="minorEastAsia"/>
                <w:color w:val="000000" w:themeColor="text1"/>
                <w:sz w:val="18"/>
                <w:szCs w:val="18"/>
                <w:lang w:val="en-US" w:eastAsia="zh-CN"/>
                <w14:textFill>
                  <w14:solidFill>
                    <w14:schemeClr w14:val="tx1"/>
                  </w14:solidFill>
                </w14:textFill>
              </w:rPr>
              <w:t>/</w:t>
            </w:r>
          </w:p>
        </w:tc>
        <w:tc>
          <w:tcPr>
            <w:tcW w:w="766" w:type="pct"/>
            <w:tcMar>
              <w:left w:w="57" w:type="dxa"/>
              <w:right w:w="57" w:type="dxa"/>
            </w:tcMar>
            <w:vAlign w:val="center"/>
          </w:tcPr>
          <w:p w14:paraId="004EC176">
            <w:pPr>
              <w:adjustRightInd w:val="0"/>
              <w:snapToGrid w:val="0"/>
              <w:jc w:val="center"/>
              <w:rPr>
                <w:rFonts w:hint="eastAsia" w:eastAsiaTheme="minorEastAsia"/>
                <w:color w:val="000000" w:themeColor="text1"/>
                <w:sz w:val="18"/>
                <w:szCs w:val="18"/>
                <w:lang w:val="en-US" w:eastAsia="zh-CN"/>
                <w14:textFill>
                  <w14:solidFill>
                    <w14:schemeClr w14:val="tx1"/>
                  </w14:solidFill>
                </w14:textFill>
              </w:rPr>
            </w:pPr>
            <w:r>
              <w:rPr>
                <w:rFonts w:hint="eastAsia" w:eastAsiaTheme="minorEastAsia"/>
                <w:color w:val="000000" w:themeColor="text1"/>
                <w:sz w:val="18"/>
                <w:szCs w:val="18"/>
                <w:lang w:val="en-US" w:eastAsia="zh-CN"/>
                <w14:textFill>
                  <w14:solidFill>
                    <w14:schemeClr w14:val="tx1"/>
                  </w14:solidFill>
                </w14:textFill>
              </w:rPr>
              <w:t>/</w:t>
            </w:r>
          </w:p>
        </w:tc>
        <w:tc>
          <w:tcPr>
            <w:tcW w:w="310" w:type="pct"/>
            <w:tcMar>
              <w:left w:w="57" w:type="dxa"/>
              <w:right w:w="57" w:type="dxa"/>
            </w:tcMar>
            <w:vAlign w:val="center"/>
          </w:tcPr>
          <w:p w14:paraId="224218B2">
            <w:pPr>
              <w:adjustRightInd w:val="0"/>
              <w:snapToGrid w:val="0"/>
              <w:jc w:val="center"/>
              <w:rPr>
                <w:rFonts w:hint="default" w:eastAsiaTheme="minorEastAsia"/>
                <w:color w:val="000000" w:themeColor="text1"/>
                <w:sz w:val="18"/>
                <w:szCs w:val="18"/>
                <w:lang w:val="en-US" w:eastAsia="zh-CN"/>
                <w14:textFill>
                  <w14:solidFill>
                    <w14:schemeClr w14:val="tx1"/>
                  </w14:solidFill>
                </w14:textFill>
              </w:rPr>
            </w:pPr>
            <w:r>
              <w:rPr>
                <w:rFonts w:hint="eastAsia" w:eastAsiaTheme="minorEastAsia"/>
                <w:color w:val="000000" w:themeColor="text1"/>
                <w:sz w:val="18"/>
                <w:szCs w:val="18"/>
                <w:lang w:val="en-US" w:eastAsia="zh-CN"/>
                <w14:textFill>
                  <w14:solidFill>
                    <w14:schemeClr w14:val="tx1"/>
                  </w14:solidFill>
                </w14:textFill>
              </w:rPr>
              <w:t>/</w:t>
            </w:r>
          </w:p>
        </w:tc>
        <w:tc>
          <w:tcPr>
            <w:tcW w:w="379" w:type="pct"/>
            <w:gridSpan w:val="2"/>
            <w:tcMar>
              <w:left w:w="57" w:type="dxa"/>
              <w:right w:w="57" w:type="dxa"/>
            </w:tcMar>
            <w:vAlign w:val="center"/>
          </w:tcPr>
          <w:p w14:paraId="4AA2C73D">
            <w:pPr>
              <w:adjustRightInd w:val="0"/>
              <w:snapToGrid w:val="0"/>
              <w:jc w:val="center"/>
              <w:rPr>
                <w:rFonts w:hint="default" w:eastAsiaTheme="minorEastAsia"/>
                <w:color w:val="000000" w:themeColor="text1"/>
                <w:sz w:val="18"/>
                <w:szCs w:val="18"/>
                <w:lang w:val="en-US" w:eastAsia="zh-CN"/>
                <w14:textFill>
                  <w14:solidFill>
                    <w14:schemeClr w14:val="tx1"/>
                  </w14:solidFill>
                </w14:textFill>
              </w:rPr>
            </w:pPr>
            <w:r>
              <w:rPr>
                <w:rFonts w:hint="eastAsia" w:eastAsiaTheme="minorEastAsia"/>
                <w:color w:val="000000" w:themeColor="text1"/>
                <w:sz w:val="18"/>
                <w:szCs w:val="18"/>
                <w:lang w:val="en-US" w:eastAsia="zh-CN"/>
                <w14:textFill>
                  <w14:solidFill>
                    <w14:schemeClr w14:val="tx1"/>
                  </w14:solidFill>
                </w14:textFill>
              </w:rPr>
              <w:t>/</w:t>
            </w:r>
          </w:p>
        </w:tc>
        <w:tc>
          <w:tcPr>
            <w:tcW w:w="358" w:type="pct"/>
            <w:gridSpan w:val="2"/>
            <w:tcMar>
              <w:left w:w="57" w:type="dxa"/>
              <w:right w:w="57" w:type="dxa"/>
            </w:tcMar>
            <w:vAlign w:val="center"/>
          </w:tcPr>
          <w:p w14:paraId="59173424">
            <w:pPr>
              <w:adjustRightInd w:val="0"/>
              <w:snapToGrid w:val="0"/>
              <w:jc w:val="center"/>
              <w:rPr>
                <w:rFonts w:eastAsiaTheme="minorEastAsia"/>
                <w:color w:val="auto"/>
                <w:sz w:val="18"/>
                <w:szCs w:val="18"/>
              </w:rPr>
            </w:pPr>
            <w:r>
              <w:rPr>
                <w:rFonts w:eastAsiaTheme="minorEastAsia"/>
                <w:color w:val="auto"/>
                <w:sz w:val="18"/>
                <w:szCs w:val="18"/>
              </w:rPr>
              <w:t>/</w:t>
            </w:r>
          </w:p>
        </w:tc>
        <w:tc>
          <w:tcPr>
            <w:tcW w:w="314" w:type="pct"/>
            <w:tcMar>
              <w:left w:w="57" w:type="dxa"/>
              <w:right w:w="57" w:type="dxa"/>
            </w:tcMar>
            <w:vAlign w:val="center"/>
          </w:tcPr>
          <w:p w14:paraId="5C8F28EC">
            <w:pPr>
              <w:adjustRightInd w:val="0"/>
              <w:snapToGrid w:val="0"/>
              <w:jc w:val="center"/>
              <w:rPr>
                <w:rFonts w:eastAsiaTheme="minorEastAsia"/>
                <w:color w:val="auto"/>
                <w:sz w:val="18"/>
                <w:szCs w:val="18"/>
              </w:rPr>
            </w:pPr>
            <w:r>
              <w:rPr>
                <w:rFonts w:eastAsiaTheme="minorEastAsia"/>
                <w:color w:val="auto"/>
                <w:sz w:val="18"/>
                <w:szCs w:val="18"/>
              </w:rPr>
              <w:t>/</w:t>
            </w:r>
          </w:p>
        </w:tc>
      </w:tr>
      <w:tr w14:paraId="3E49C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4" w:type="pct"/>
            <w:gridSpan w:val="2"/>
            <w:vMerge w:val="continue"/>
            <w:tcMar>
              <w:left w:w="57" w:type="dxa"/>
              <w:right w:w="57" w:type="dxa"/>
            </w:tcMar>
            <w:vAlign w:val="center"/>
          </w:tcPr>
          <w:p w14:paraId="10E1FBB6">
            <w:pPr>
              <w:adjustRightInd w:val="0"/>
              <w:snapToGrid w:val="0"/>
              <w:jc w:val="center"/>
              <w:rPr>
                <w:rFonts w:eastAsiaTheme="minorEastAsia"/>
                <w:color w:val="auto"/>
                <w:sz w:val="18"/>
                <w:szCs w:val="18"/>
              </w:rPr>
            </w:pPr>
          </w:p>
        </w:tc>
        <w:tc>
          <w:tcPr>
            <w:tcW w:w="521" w:type="pct"/>
            <w:gridSpan w:val="2"/>
            <w:tcMar>
              <w:left w:w="57" w:type="dxa"/>
              <w:right w:w="57" w:type="dxa"/>
            </w:tcMar>
            <w:vAlign w:val="center"/>
          </w:tcPr>
          <w:p w14:paraId="50A7616F">
            <w:pPr>
              <w:adjustRightInd w:val="0"/>
              <w:snapToGrid w:val="0"/>
              <w:jc w:val="center"/>
              <w:rPr>
                <w:rFonts w:eastAsiaTheme="minorEastAsia"/>
                <w:b/>
                <w:color w:val="auto"/>
                <w:sz w:val="18"/>
                <w:szCs w:val="18"/>
              </w:rPr>
            </w:pPr>
            <w:r>
              <w:rPr>
                <w:rFonts w:hint="eastAsia" w:eastAsiaTheme="minorEastAsia"/>
                <w:b/>
                <w:color w:val="auto"/>
                <w:sz w:val="18"/>
                <w:szCs w:val="18"/>
              </w:rPr>
              <w:t>CODcr</w:t>
            </w:r>
          </w:p>
        </w:tc>
        <w:tc>
          <w:tcPr>
            <w:tcW w:w="172" w:type="pct"/>
            <w:tcMar>
              <w:left w:w="57" w:type="dxa"/>
              <w:right w:w="57" w:type="dxa"/>
            </w:tcMar>
            <w:vAlign w:val="center"/>
          </w:tcPr>
          <w:p w14:paraId="23A8CC11">
            <w:pPr>
              <w:adjustRightInd w:val="0"/>
              <w:snapToGrid w:val="0"/>
              <w:jc w:val="center"/>
              <w:rPr>
                <w:rFonts w:eastAsiaTheme="minorEastAsia"/>
                <w:color w:val="auto"/>
                <w:sz w:val="18"/>
                <w:szCs w:val="18"/>
              </w:rPr>
            </w:pPr>
            <w:r>
              <w:rPr>
                <w:rFonts w:eastAsiaTheme="minorEastAsia"/>
                <w:color w:val="auto"/>
                <w:sz w:val="18"/>
                <w:szCs w:val="18"/>
              </w:rPr>
              <w:t>/</w:t>
            </w:r>
          </w:p>
        </w:tc>
        <w:tc>
          <w:tcPr>
            <w:tcW w:w="428" w:type="pct"/>
            <w:tcMar>
              <w:left w:w="57" w:type="dxa"/>
              <w:right w:w="57" w:type="dxa"/>
            </w:tcMar>
            <w:vAlign w:val="center"/>
          </w:tcPr>
          <w:p w14:paraId="2FE8DD50">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339" w:type="pct"/>
            <w:tcMar>
              <w:left w:w="57" w:type="dxa"/>
              <w:right w:w="57" w:type="dxa"/>
            </w:tcMar>
            <w:vAlign w:val="center"/>
          </w:tcPr>
          <w:p w14:paraId="42D175AB">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252" w:type="pct"/>
            <w:tcMar>
              <w:left w:w="57" w:type="dxa"/>
              <w:right w:w="57" w:type="dxa"/>
            </w:tcMar>
            <w:vAlign w:val="center"/>
          </w:tcPr>
          <w:p w14:paraId="42F8CC53">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323" w:type="pct"/>
            <w:gridSpan w:val="2"/>
            <w:tcMar>
              <w:left w:w="57" w:type="dxa"/>
              <w:right w:w="57" w:type="dxa"/>
            </w:tcMar>
            <w:vAlign w:val="center"/>
          </w:tcPr>
          <w:p w14:paraId="5BA3F0F5">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c>
          <w:tcPr>
            <w:tcW w:w="418" w:type="pct"/>
            <w:tcMar>
              <w:left w:w="57" w:type="dxa"/>
              <w:right w:w="57" w:type="dxa"/>
            </w:tcMar>
            <w:vAlign w:val="center"/>
          </w:tcPr>
          <w:p w14:paraId="5D347580">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240" w:type="pct"/>
            <w:gridSpan w:val="2"/>
            <w:tcMar>
              <w:left w:w="57" w:type="dxa"/>
              <w:right w:w="57" w:type="dxa"/>
            </w:tcMar>
            <w:vAlign w:val="center"/>
          </w:tcPr>
          <w:p w14:paraId="66CBC5B3">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766" w:type="pct"/>
            <w:tcMar>
              <w:left w:w="57" w:type="dxa"/>
              <w:right w:w="57" w:type="dxa"/>
            </w:tcMar>
            <w:vAlign w:val="center"/>
          </w:tcPr>
          <w:p w14:paraId="5E38EBF8">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c>
          <w:tcPr>
            <w:tcW w:w="310" w:type="pct"/>
            <w:tcMar>
              <w:left w:w="57" w:type="dxa"/>
              <w:right w:w="57" w:type="dxa"/>
            </w:tcMar>
            <w:vAlign w:val="center"/>
          </w:tcPr>
          <w:p w14:paraId="645060BD">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379" w:type="pct"/>
            <w:gridSpan w:val="2"/>
            <w:tcMar>
              <w:left w:w="57" w:type="dxa"/>
              <w:right w:w="57" w:type="dxa"/>
            </w:tcMar>
            <w:vAlign w:val="center"/>
          </w:tcPr>
          <w:p w14:paraId="4CB3AC5E">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358" w:type="pct"/>
            <w:gridSpan w:val="2"/>
            <w:tcMar>
              <w:left w:w="57" w:type="dxa"/>
              <w:right w:w="57" w:type="dxa"/>
            </w:tcMar>
            <w:vAlign w:val="center"/>
          </w:tcPr>
          <w:p w14:paraId="028C5E3B">
            <w:pPr>
              <w:adjustRightInd w:val="0"/>
              <w:snapToGrid w:val="0"/>
              <w:jc w:val="center"/>
              <w:rPr>
                <w:rFonts w:eastAsiaTheme="minorEastAsia"/>
                <w:color w:val="auto"/>
                <w:sz w:val="18"/>
                <w:szCs w:val="18"/>
              </w:rPr>
            </w:pPr>
            <w:r>
              <w:rPr>
                <w:rFonts w:eastAsiaTheme="minorEastAsia"/>
                <w:color w:val="auto"/>
                <w:sz w:val="18"/>
                <w:szCs w:val="18"/>
              </w:rPr>
              <w:t>/</w:t>
            </w:r>
          </w:p>
        </w:tc>
        <w:tc>
          <w:tcPr>
            <w:tcW w:w="314" w:type="pct"/>
            <w:tcMar>
              <w:left w:w="57" w:type="dxa"/>
              <w:right w:w="57" w:type="dxa"/>
            </w:tcMar>
            <w:vAlign w:val="center"/>
          </w:tcPr>
          <w:p w14:paraId="3ECC5B4E">
            <w:pPr>
              <w:adjustRightInd w:val="0"/>
              <w:snapToGrid w:val="0"/>
              <w:jc w:val="center"/>
              <w:rPr>
                <w:rFonts w:eastAsiaTheme="minorEastAsia"/>
                <w:color w:val="auto"/>
                <w:sz w:val="18"/>
                <w:szCs w:val="18"/>
              </w:rPr>
            </w:pPr>
            <w:r>
              <w:rPr>
                <w:rFonts w:eastAsiaTheme="minorEastAsia"/>
                <w:color w:val="auto"/>
                <w:sz w:val="18"/>
                <w:szCs w:val="18"/>
              </w:rPr>
              <w:t>/</w:t>
            </w:r>
          </w:p>
        </w:tc>
      </w:tr>
      <w:tr w14:paraId="26C52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4" w:type="pct"/>
            <w:gridSpan w:val="2"/>
            <w:vMerge w:val="continue"/>
            <w:tcMar>
              <w:left w:w="57" w:type="dxa"/>
              <w:right w:w="57" w:type="dxa"/>
            </w:tcMar>
            <w:vAlign w:val="center"/>
          </w:tcPr>
          <w:p w14:paraId="0D7BE71E">
            <w:pPr>
              <w:adjustRightInd w:val="0"/>
              <w:snapToGrid w:val="0"/>
              <w:jc w:val="center"/>
              <w:rPr>
                <w:rFonts w:eastAsiaTheme="minorEastAsia"/>
                <w:color w:val="auto"/>
                <w:sz w:val="18"/>
                <w:szCs w:val="18"/>
              </w:rPr>
            </w:pPr>
          </w:p>
        </w:tc>
        <w:tc>
          <w:tcPr>
            <w:tcW w:w="521" w:type="pct"/>
            <w:gridSpan w:val="2"/>
            <w:tcMar>
              <w:left w:w="57" w:type="dxa"/>
              <w:right w:w="57" w:type="dxa"/>
            </w:tcMar>
            <w:vAlign w:val="center"/>
          </w:tcPr>
          <w:p w14:paraId="6D0F0183">
            <w:pPr>
              <w:adjustRightInd w:val="0"/>
              <w:snapToGrid w:val="0"/>
              <w:jc w:val="center"/>
              <w:rPr>
                <w:rFonts w:eastAsiaTheme="minorEastAsia"/>
                <w:b/>
                <w:color w:val="auto"/>
                <w:sz w:val="18"/>
                <w:szCs w:val="18"/>
              </w:rPr>
            </w:pPr>
            <w:r>
              <w:rPr>
                <w:rFonts w:hint="eastAsia" w:eastAsiaTheme="minorEastAsia"/>
                <w:b/>
                <w:color w:val="auto"/>
                <w:sz w:val="18"/>
                <w:szCs w:val="18"/>
              </w:rPr>
              <w:t>氨氮</w:t>
            </w:r>
          </w:p>
        </w:tc>
        <w:tc>
          <w:tcPr>
            <w:tcW w:w="172" w:type="pct"/>
            <w:tcMar>
              <w:left w:w="57" w:type="dxa"/>
              <w:right w:w="57" w:type="dxa"/>
            </w:tcMar>
            <w:vAlign w:val="center"/>
          </w:tcPr>
          <w:p w14:paraId="1CF26DA6">
            <w:pPr>
              <w:adjustRightInd w:val="0"/>
              <w:snapToGrid w:val="0"/>
              <w:jc w:val="center"/>
              <w:rPr>
                <w:rFonts w:eastAsiaTheme="minorEastAsia"/>
                <w:color w:val="auto"/>
                <w:sz w:val="18"/>
                <w:szCs w:val="18"/>
              </w:rPr>
            </w:pPr>
            <w:r>
              <w:rPr>
                <w:rFonts w:eastAsiaTheme="minorEastAsia"/>
                <w:color w:val="auto"/>
                <w:sz w:val="18"/>
                <w:szCs w:val="18"/>
              </w:rPr>
              <w:t>/</w:t>
            </w:r>
          </w:p>
        </w:tc>
        <w:tc>
          <w:tcPr>
            <w:tcW w:w="428" w:type="pct"/>
            <w:tcMar>
              <w:left w:w="57" w:type="dxa"/>
              <w:right w:w="57" w:type="dxa"/>
            </w:tcMar>
            <w:vAlign w:val="center"/>
          </w:tcPr>
          <w:p w14:paraId="120F07B6">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339" w:type="pct"/>
            <w:tcMar>
              <w:left w:w="57" w:type="dxa"/>
              <w:right w:w="57" w:type="dxa"/>
            </w:tcMar>
            <w:vAlign w:val="center"/>
          </w:tcPr>
          <w:p w14:paraId="73FA4F7E">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252" w:type="pct"/>
            <w:tcMar>
              <w:left w:w="57" w:type="dxa"/>
              <w:right w:w="57" w:type="dxa"/>
            </w:tcMar>
            <w:vAlign w:val="center"/>
          </w:tcPr>
          <w:p w14:paraId="70E703D7">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323" w:type="pct"/>
            <w:gridSpan w:val="2"/>
            <w:tcMar>
              <w:left w:w="57" w:type="dxa"/>
              <w:right w:w="57" w:type="dxa"/>
            </w:tcMar>
            <w:vAlign w:val="center"/>
          </w:tcPr>
          <w:p w14:paraId="72383E2A">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c>
          <w:tcPr>
            <w:tcW w:w="418" w:type="pct"/>
            <w:tcMar>
              <w:left w:w="57" w:type="dxa"/>
              <w:right w:w="57" w:type="dxa"/>
            </w:tcMar>
            <w:vAlign w:val="center"/>
          </w:tcPr>
          <w:p w14:paraId="36C81410">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240" w:type="pct"/>
            <w:gridSpan w:val="2"/>
            <w:tcMar>
              <w:left w:w="57" w:type="dxa"/>
              <w:right w:w="57" w:type="dxa"/>
            </w:tcMar>
            <w:vAlign w:val="center"/>
          </w:tcPr>
          <w:p w14:paraId="4BB5E3B2">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766" w:type="pct"/>
            <w:tcMar>
              <w:left w:w="57" w:type="dxa"/>
              <w:right w:w="57" w:type="dxa"/>
            </w:tcMar>
            <w:vAlign w:val="center"/>
          </w:tcPr>
          <w:p w14:paraId="47FC47EF">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c>
          <w:tcPr>
            <w:tcW w:w="310" w:type="pct"/>
            <w:tcMar>
              <w:left w:w="57" w:type="dxa"/>
              <w:right w:w="57" w:type="dxa"/>
            </w:tcMar>
            <w:vAlign w:val="center"/>
          </w:tcPr>
          <w:p w14:paraId="23CF0D0D">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379" w:type="pct"/>
            <w:gridSpan w:val="2"/>
            <w:tcMar>
              <w:left w:w="57" w:type="dxa"/>
              <w:right w:w="57" w:type="dxa"/>
            </w:tcMar>
            <w:vAlign w:val="center"/>
          </w:tcPr>
          <w:p w14:paraId="0AC7EE88">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w:t>
            </w:r>
          </w:p>
        </w:tc>
        <w:tc>
          <w:tcPr>
            <w:tcW w:w="358" w:type="pct"/>
            <w:gridSpan w:val="2"/>
            <w:tcMar>
              <w:left w:w="57" w:type="dxa"/>
              <w:right w:w="57" w:type="dxa"/>
            </w:tcMar>
            <w:vAlign w:val="center"/>
          </w:tcPr>
          <w:p w14:paraId="5D7B8BFC">
            <w:pPr>
              <w:adjustRightInd w:val="0"/>
              <w:snapToGrid w:val="0"/>
              <w:jc w:val="center"/>
              <w:rPr>
                <w:rFonts w:eastAsiaTheme="minorEastAsia"/>
                <w:color w:val="auto"/>
                <w:sz w:val="18"/>
                <w:szCs w:val="18"/>
              </w:rPr>
            </w:pPr>
            <w:r>
              <w:rPr>
                <w:rFonts w:eastAsiaTheme="minorEastAsia"/>
                <w:color w:val="auto"/>
                <w:sz w:val="18"/>
                <w:szCs w:val="18"/>
              </w:rPr>
              <w:t>/</w:t>
            </w:r>
          </w:p>
        </w:tc>
        <w:tc>
          <w:tcPr>
            <w:tcW w:w="314" w:type="pct"/>
            <w:tcMar>
              <w:left w:w="57" w:type="dxa"/>
              <w:right w:w="57" w:type="dxa"/>
            </w:tcMar>
            <w:vAlign w:val="center"/>
          </w:tcPr>
          <w:p w14:paraId="46551172">
            <w:pPr>
              <w:adjustRightInd w:val="0"/>
              <w:snapToGrid w:val="0"/>
              <w:jc w:val="center"/>
              <w:rPr>
                <w:rFonts w:eastAsiaTheme="minorEastAsia"/>
                <w:color w:val="auto"/>
                <w:sz w:val="18"/>
                <w:szCs w:val="18"/>
              </w:rPr>
            </w:pPr>
            <w:r>
              <w:rPr>
                <w:rFonts w:eastAsiaTheme="minorEastAsia"/>
                <w:color w:val="auto"/>
                <w:sz w:val="18"/>
                <w:szCs w:val="18"/>
              </w:rPr>
              <w:t>/</w:t>
            </w:r>
          </w:p>
        </w:tc>
      </w:tr>
      <w:tr w14:paraId="4CF71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4" w:type="pct"/>
            <w:gridSpan w:val="2"/>
            <w:vMerge w:val="continue"/>
            <w:tcMar>
              <w:left w:w="57" w:type="dxa"/>
              <w:right w:w="57" w:type="dxa"/>
            </w:tcMar>
            <w:vAlign w:val="center"/>
          </w:tcPr>
          <w:p w14:paraId="01021E80">
            <w:pPr>
              <w:adjustRightInd w:val="0"/>
              <w:snapToGrid w:val="0"/>
              <w:jc w:val="center"/>
              <w:rPr>
                <w:rFonts w:eastAsiaTheme="minorEastAsia"/>
                <w:color w:val="auto"/>
                <w:sz w:val="18"/>
                <w:szCs w:val="18"/>
              </w:rPr>
            </w:pPr>
          </w:p>
        </w:tc>
        <w:tc>
          <w:tcPr>
            <w:tcW w:w="314" w:type="pct"/>
            <w:vMerge w:val="restart"/>
            <w:tcMar>
              <w:left w:w="57" w:type="dxa"/>
              <w:right w:w="57" w:type="dxa"/>
            </w:tcMar>
            <w:vAlign w:val="center"/>
          </w:tcPr>
          <w:p w14:paraId="21C2A131">
            <w:pPr>
              <w:adjustRightInd w:val="0"/>
              <w:snapToGrid w:val="0"/>
              <w:jc w:val="center"/>
              <w:rPr>
                <w:rFonts w:eastAsiaTheme="minorEastAsia"/>
                <w:color w:val="auto"/>
                <w:sz w:val="18"/>
                <w:szCs w:val="18"/>
              </w:rPr>
            </w:pPr>
            <w:r>
              <w:rPr>
                <w:rFonts w:eastAsiaTheme="minorEastAsia"/>
                <w:b/>
                <w:color w:val="auto"/>
                <w:sz w:val="18"/>
                <w:szCs w:val="18"/>
              </w:rPr>
              <w:t>与项目有关的其他特征污染物</w:t>
            </w:r>
          </w:p>
        </w:tc>
        <w:tc>
          <w:tcPr>
            <w:tcW w:w="206" w:type="pct"/>
            <w:tcMar>
              <w:left w:w="57" w:type="dxa"/>
              <w:right w:w="57" w:type="dxa"/>
            </w:tcMar>
            <w:vAlign w:val="center"/>
          </w:tcPr>
          <w:p w14:paraId="13D8A4AF">
            <w:pPr>
              <w:adjustRightInd w:val="0"/>
              <w:snapToGrid w:val="0"/>
              <w:jc w:val="center"/>
              <w:rPr>
                <w:rFonts w:eastAsiaTheme="minorEastAsia"/>
                <w:color w:val="auto"/>
                <w:sz w:val="18"/>
                <w:szCs w:val="18"/>
              </w:rPr>
            </w:pPr>
            <w:r>
              <w:rPr>
                <w:rFonts w:eastAsiaTheme="minorEastAsia"/>
                <w:color w:val="auto"/>
                <w:sz w:val="18"/>
                <w:szCs w:val="18"/>
              </w:rPr>
              <w:t>/</w:t>
            </w:r>
          </w:p>
        </w:tc>
        <w:tc>
          <w:tcPr>
            <w:tcW w:w="172" w:type="pct"/>
            <w:tcMar>
              <w:left w:w="57" w:type="dxa"/>
              <w:right w:w="57" w:type="dxa"/>
            </w:tcMar>
            <w:vAlign w:val="center"/>
          </w:tcPr>
          <w:p w14:paraId="3061A9F1">
            <w:pPr>
              <w:adjustRightInd w:val="0"/>
              <w:snapToGrid w:val="0"/>
              <w:jc w:val="center"/>
              <w:rPr>
                <w:rFonts w:eastAsiaTheme="minorEastAsia"/>
                <w:color w:val="auto"/>
                <w:sz w:val="18"/>
                <w:szCs w:val="18"/>
              </w:rPr>
            </w:pPr>
            <w:r>
              <w:rPr>
                <w:rFonts w:eastAsiaTheme="minorEastAsia"/>
                <w:color w:val="auto"/>
                <w:sz w:val="18"/>
                <w:szCs w:val="18"/>
              </w:rPr>
              <w:t>/</w:t>
            </w:r>
          </w:p>
        </w:tc>
        <w:tc>
          <w:tcPr>
            <w:tcW w:w="428" w:type="pct"/>
            <w:tcMar>
              <w:left w:w="57" w:type="dxa"/>
              <w:right w:w="57" w:type="dxa"/>
            </w:tcMar>
            <w:vAlign w:val="center"/>
          </w:tcPr>
          <w:p w14:paraId="22A97634">
            <w:pPr>
              <w:adjustRightInd w:val="0"/>
              <w:snapToGrid w:val="0"/>
              <w:jc w:val="center"/>
              <w:rPr>
                <w:rFonts w:eastAsiaTheme="minorEastAsia"/>
                <w:color w:val="auto"/>
                <w:sz w:val="18"/>
                <w:szCs w:val="18"/>
              </w:rPr>
            </w:pPr>
            <w:r>
              <w:rPr>
                <w:rFonts w:eastAsiaTheme="minorEastAsia"/>
                <w:color w:val="auto"/>
                <w:sz w:val="18"/>
                <w:szCs w:val="18"/>
              </w:rPr>
              <w:t>/</w:t>
            </w:r>
          </w:p>
        </w:tc>
        <w:tc>
          <w:tcPr>
            <w:tcW w:w="339" w:type="pct"/>
            <w:tcMar>
              <w:left w:w="57" w:type="dxa"/>
              <w:right w:w="57" w:type="dxa"/>
            </w:tcMar>
            <w:vAlign w:val="center"/>
          </w:tcPr>
          <w:p w14:paraId="2A35CC30">
            <w:pPr>
              <w:adjustRightInd w:val="0"/>
              <w:snapToGrid w:val="0"/>
              <w:jc w:val="center"/>
              <w:rPr>
                <w:rFonts w:eastAsiaTheme="minorEastAsia"/>
                <w:color w:val="auto"/>
                <w:sz w:val="18"/>
                <w:szCs w:val="18"/>
              </w:rPr>
            </w:pPr>
            <w:r>
              <w:rPr>
                <w:rFonts w:eastAsiaTheme="minorEastAsia"/>
                <w:color w:val="auto"/>
                <w:sz w:val="18"/>
                <w:szCs w:val="18"/>
              </w:rPr>
              <w:t>/</w:t>
            </w:r>
          </w:p>
        </w:tc>
        <w:tc>
          <w:tcPr>
            <w:tcW w:w="252" w:type="pct"/>
            <w:tcMar>
              <w:left w:w="57" w:type="dxa"/>
              <w:right w:w="57" w:type="dxa"/>
            </w:tcMar>
            <w:vAlign w:val="center"/>
          </w:tcPr>
          <w:p w14:paraId="3B62241F">
            <w:pPr>
              <w:adjustRightInd w:val="0"/>
              <w:snapToGrid w:val="0"/>
              <w:jc w:val="center"/>
              <w:rPr>
                <w:rFonts w:eastAsiaTheme="minorEastAsia"/>
                <w:color w:val="auto"/>
                <w:sz w:val="18"/>
                <w:szCs w:val="18"/>
              </w:rPr>
            </w:pPr>
            <w:r>
              <w:rPr>
                <w:rFonts w:eastAsiaTheme="minorEastAsia"/>
                <w:color w:val="auto"/>
                <w:sz w:val="18"/>
                <w:szCs w:val="18"/>
              </w:rPr>
              <w:t>/</w:t>
            </w:r>
          </w:p>
        </w:tc>
        <w:tc>
          <w:tcPr>
            <w:tcW w:w="323" w:type="pct"/>
            <w:gridSpan w:val="2"/>
            <w:tcMar>
              <w:left w:w="57" w:type="dxa"/>
              <w:right w:w="57" w:type="dxa"/>
            </w:tcMar>
            <w:vAlign w:val="center"/>
          </w:tcPr>
          <w:p w14:paraId="5383000D">
            <w:pPr>
              <w:adjustRightInd w:val="0"/>
              <w:snapToGrid w:val="0"/>
              <w:jc w:val="center"/>
              <w:rPr>
                <w:rFonts w:eastAsiaTheme="minorEastAsia"/>
                <w:color w:val="auto"/>
                <w:sz w:val="18"/>
                <w:szCs w:val="18"/>
              </w:rPr>
            </w:pPr>
            <w:r>
              <w:rPr>
                <w:rFonts w:eastAsiaTheme="minorEastAsia"/>
                <w:color w:val="auto"/>
                <w:sz w:val="18"/>
                <w:szCs w:val="18"/>
              </w:rPr>
              <w:t>/</w:t>
            </w:r>
          </w:p>
        </w:tc>
        <w:tc>
          <w:tcPr>
            <w:tcW w:w="418" w:type="pct"/>
            <w:tcMar>
              <w:left w:w="57" w:type="dxa"/>
              <w:right w:w="57" w:type="dxa"/>
            </w:tcMar>
            <w:vAlign w:val="center"/>
          </w:tcPr>
          <w:p w14:paraId="6D414EE4">
            <w:pPr>
              <w:adjustRightInd w:val="0"/>
              <w:snapToGrid w:val="0"/>
              <w:jc w:val="center"/>
              <w:rPr>
                <w:rFonts w:eastAsiaTheme="minorEastAsia"/>
                <w:color w:val="auto"/>
                <w:sz w:val="18"/>
                <w:szCs w:val="18"/>
              </w:rPr>
            </w:pPr>
            <w:r>
              <w:rPr>
                <w:rFonts w:eastAsiaTheme="minorEastAsia"/>
                <w:color w:val="auto"/>
                <w:sz w:val="18"/>
                <w:szCs w:val="18"/>
              </w:rPr>
              <w:t>/</w:t>
            </w:r>
          </w:p>
        </w:tc>
        <w:tc>
          <w:tcPr>
            <w:tcW w:w="240" w:type="pct"/>
            <w:gridSpan w:val="2"/>
            <w:tcMar>
              <w:left w:w="57" w:type="dxa"/>
              <w:right w:w="57" w:type="dxa"/>
            </w:tcMar>
            <w:vAlign w:val="center"/>
          </w:tcPr>
          <w:p w14:paraId="76394A79">
            <w:pPr>
              <w:adjustRightInd w:val="0"/>
              <w:snapToGrid w:val="0"/>
              <w:jc w:val="center"/>
              <w:rPr>
                <w:rFonts w:eastAsiaTheme="minorEastAsia"/>
                <w:color w:val="auto"/>
                <w:sz w:val="18"/>
                <w:szCs w:val="18"/>
              </w:rPr>
            </w:pPr>
            <w:r>
              <w:rPr>
                <w:rFonts w:eastAsiaTheme="minorEastAsia"/>
                <w:color w:val="auto"/>
                <w:sz w:val="18"/>
                <w:szCs w:val="18"/>
              </w:rPr>
              <w:t>/</w:t>
            </w:r>
          </w:p>
        </w:tc>
        <w:tc>
          <w:tcPr>
            <w:tcW w:w="766" w:type="pct"/>
            <w:tcMar>
              <w:left w:w="57" w:type="dxa"/>
              <w:right w:w="57" w:type="dxa"/>
            </w:tcMar>
            <w:vAlign w:val="center"/>
          </w:tcPr>
          <w:p w14:paraId="6FC301C4">
            <w:pPr>
              <w:adjustRightInd w:val="0"/>
              <w:snapToGrid w:val="0"/>
              <w:jc w:val="center"/>
              <w:rPr>
                <w:rFonts w:eastAsiaTheme="minorEastAsia"/>
                <w:color w:val="auto"/>
                <w:sz w:val="18"/>
                <w:szCs w:val="18"/>
              </w:rPr>
            </w:pPr>
            <w:r>
              <w:rPr>
                <w:rFonts w:eastAsiaTheme="minorEastAsia"/>
                <w:color w:val="auto"/>
                <w:sz w:val="18"/>
                <w:szCs w:val="18"/>
              </w:rPr>
              <w:t>/</w:t>
            </w:r>
          </w:p>
        </w:tc>
        <w:tc>
          <w:tcPr>
            <w:tcW w:w="310" w:type="pct"/>
            <w:tcMar>
              <w:left w:w="57" w:type="dxa"/>
              <w:right w:w="57" w:type="dxa"/>
            </w:tcMar>
            <w:vAlign w:val="center"/>
          </w:tcPr>
          <w:p w14:paraId="10CA8682">
            <w:pPr>
              <w:adjustRightInd w:val="0"/>
              <w:snapToGrid w:val="0"/>
              <w:jc w:val="center"/>
              <w:rPr>
                <w:rFonts w:eastAsiaTheme="minorEastAsia"/>
                <w:color w:val="auto"/>
                <w:sz w:val="18"/>
                <w:szCs w:val="18"/>
              </w:rPr>
            </w:pPr>
            <w:r>
              <w:rPr>
                <w:rFonts w:eastAsiaTheme="minorEastAsia"/>
                <w:color w:val="auto"/>
                <w:sz w:val="18"/>
                <w:szCs w:val="18"/>
              </w:rPr>
              <w:t>/</w:t>
            </w:r>
          </w:p>
        </w:tc>
        <w:tc>
          <w:tcPr>
            <w:tcW w:w="379" w:type="pct"/>
            <w:gridSpan w:val="2"/>
            <w:tcMar>
              <w:left w:w="57" w:type="dxa"/>
              <w:right w:w="57" w:type="dxa"/>
            </w:tcMar>
            <w:vAlign w:val="center"/>
          </w:tcPr>
          <w:p w14:paraId="0CA18C3C">
            <w:pPr>
              <w:adjustRightInd w:val="0"/>
              <w:snapToGrid w:val="0"/>
              <w:jc w:val="center"/>
              <w:rPr>
                <w:rFonts w:eastAsiaTheme="minorEastAsia"/>
                <w:color w:val="auto"/>
                <w:sz w:val="18"/>
                <w:szCs w:val="18"/>
              </w:rPr>
            </w:pPr>
            <w:r>
              <w:rPr>
                <w:rFonts w:eastAsiaTheme="minorEastAsia"/>
                <w:color w:val="auto"/>
                <w:sz w:val="18"/>
                <w:szCs w:val="18"/>
              </w:rPr>
              <w:t>/</w:t>
            </w:r>
          </w:p>
        </w:tc>
        <w:tc>
          <w:tcPr>
            <w:tcW w:w="358" w:type="pct"/>
            <w:gridSpan w:val="2"/>
            <w:tcMar>
              <w:left w:w="57" w:type="dxa"/>
              <w:right w:w="57" w:type="dxa"/>
            </w:tcMar>
            <w:vAlign w:val="center"/>
          </w:tcPr>
          <w:p w14:paraId="35D512D4">
            <w:pPr>
              <w:adjustRightInd w:val="0"/>
              <w:snapToGrid w:val="0"/>
              <w:jc w:val="center"/>
              <w:rPr>
                <w:rFonts w:eastAsiaTheme="minorEastAsia"/>
                <w:color w:val="auto"/>
                <w:sz w:val="18"/>
                <w:szCs w:val="18"/>
              </w:rPr>
            </w:pPr>
            <w:r>
              <w:rPr>
                <w:rFonts w:eastAsiaTheme="minorEastAsia"/>
                <w:color w:val="auto"/>
                <w:sz w:val="18"/>
                <w:szCs w:val="18"/>
              </w:rPr>
              <w:t>/</w:t>
            </w:r>
          </w:p>
        </w:tc>
        <w:tc>
          <w:tcPr>
            <w:tcW w:w="314" w:type="pct"/>
            <w:tcMar>
              <w:left w:w="57" w:type="dxa"/>
              <w:right w:w="57" w:type="dxa"/>
            </w:tcMar>
            <w:vAlign w:val="center"/>
          </w:tcPr>
          <w:p w14:paraId="03AD98A0">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r>
      <w:tr w14:paraId="08C41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4" w:type="pct"/>
            <w:gridSpan w:val="2"/>
            <w:vMerge w:val="continue"/>
            <w:tcMar>
              <w:left w:w="57" w:type="dxa"/>
              <w:right w:w="57" w:type="dxa"/>
            </w:tcMar>
            <w:vAlign w:val="center"/>
          </w:tcPr>
          <w:p w14:paraId="39EA1D7C">
            <w:pPr>
              <w:adjustRightInd w:val="0"/>
              <w:snapToGrid w:val="0"/>
              <w:jc w:val="center"/>
              <w:rPr>
                <w:rFonts w:eastAsiaTheme="minorEastAsia"/>
                <w:color w:val="auto"/>
                <w:sz w:val="18"/>
                <w:szCs w:val="18"/>
              </w:rPr>
            </w:pPr>
          </w:p>
        </w:tc>
        <w:tc>
          <w:tcPr>
            <w:tcW w:w="314" w:type="pct"/>
            <w:vMerge w:val="continue"/>
            <w:tcMar>
              <w:left w:w="57" w:type="dxa"/>
              <w:right w:w="57" w:type="dxa"/>
            </w:tcMar>
            <w:vAlign w:val="center"/>
          </w:tcPr>
          <w:p w14:paraId="020AEE9C">
            <w:pPr>
              <w:adjustRightInd w:val="0"/>
              <w:snapToGrid w:val="0"/>
              <w:jc w:val="center"/>
              <w:rPr>
                <w:rFonts w:eastAsiaTheme="minorEastAsia"/>
                <w:b/>
                <w:color w:val="auto"/>
                <w:sz w:val="18"/>
                <w:szCs w:val="18"/>
              </w:rPr>
            </w:pPr>
          </w:p>
        </w:tc>
        <w:tc>
          <w:tcPr>
            <w:tcW w:w="206" w:type="pct"/>
            <w:tcMar>
              <w:left w:w="57" w:type="dxa"/>
              <w:right w:w="57" w:type="dxa"/>
            </w:tcMar>
            <w:vAlign w:val="center"/>
          </w:tcPr>
          <w:p w14:paraId="0C8D692C">
            <w:pPr>
              <w:adjustRightInd w:val="0"/>
              <w:snapToGrid w:val="0"/>
              <w:jc w:val="center"/>
              <w:rPr>
                <w:rFonts w:eastAsiaTheme="minorEastAsia"/>
                <w:color w:val="auto"/>
                <w:sz w:val="18"/>
                <w:szCs w:val="18"/>
              </w:rPr>
            </w:pPr>
            <w:r>
              <w:rPr>
                <w:rFonts w:eastAsiaTheme="minorEastAsia"/>
                <w:color w:val="auto"/>
                <w:sz w:val="18"/>
                <w:szCs w:val="18"/>
              </w:rPr>
              <w:t>/</w:t>
            </w:r>
          </w:p>
        </w:tc>
        <w:tc>
          <w:tcPr>
            <w:tcW w:w="172" w:type="pct"/>
            <w:tcMar>
              <w:left w:w="57" w:type="dxa"/>
              <w:right w:w="57" w:type="dxa"/>
            </w:tcMar>
            <w:vAlign w:val="center"/>
          </w:tcPr>
          <w:p w14:paraId="179F19F2">
            <w:pPr>
              <w:adjustRightInd w:val="0"/>
              <w:snapToGrid w:val="0"/>
              <w:jc w:val="center"/>
              <w:rPr>
                <w:rFonts w:eastAsiaTheme="minorEastAsia"/>
                <w:color w:val="auto"/>
                <w:sz w:val="18"/>
                <w:szCs w:val="18"/>
              </w:rPr>
            </w:pPr>
            <w:r>
              <w:rPr>
                <w:rFonts w:eastAsiaTheme="minorEastAsia"/>
                <w:color w:val="auto"/>
                <w:sz w:val="18"/>
                <w:szCs w:val="18"/>
              </w:rPr>
              <w:t>/</w:t>
            </w:r>
          </w:p>
        </w:tc>
        <w:tc>
          <w:tcPr>
            <w:tcW w:w="428" w:type="pct"/>
            <w:tcMar>
              <w:left w:w="57" w:type="dxa"/>
              <w:right w:w="57" w:type="dxa"/>
            </w:tcMar>
            <w:vAlign w:val="center"/>
          </w:tcPr>
          <w:p w14:paraId="78D5E550">
            <w:pPr>
              <w:adjustRightInd w:val="0"/>
              <w:snapToGrid w:val="0"/>
              <w:jc w:val="center"/>
              <w:rPr>
                <w:rFonts w:eastAsiaTheme="minorEastAsia"/>
                <w:color w:val="auto"/>
                <w:sz w:val="18"/>
                <w:szCs w:val="18"/>
              </w:rPr>
            </w:pPr>
            <w:r>
              <w:rPr>
                <w:rFonts w:eastAsiaTheme="minorEastAsia"/>
                <w:color w:val="auto"/>
                <w:sz w:val="18"/>
                <w:szCs w:val="18"/>
              </w:rPr>
              <w:t>/</w:t>
            </w:r>
          </w:p>
        </w:tc>
        <w:tc>
          <w:tcPr>
            <w:tcW w:w="339" w:type="pct"/>
            <w:tcMar>
              <w:left w:w="57" w:type="dxa"/>
              <w:right w:w="57" w:type="dxa"/>
            </w:tcMar>
            <w:vAlign w:val="center"/>
          </w:tcPr>
          <w:p w14:paraId="4BE37B23">
            <w:pPr>
              <w:adjustRightInd w:val="0"/>
              <w:snapToGrid w:val="0"/>
              <w:jc w:val="center"/>
              <w:rPr>
                <w:rFonts w:eastAsiaTheme="minorEastAsia"/>
                <w:color w:val="auto"/>
                <w:sz w:val="18"/>
                <w:szCs w:val="18"/>
              </w:rPr>
            </w:pPr>
            <w:r>
              <w:rPr>
                <w:rFonts w:eastAsiaTheme="minorEastAsia"/>
                <w:color w:val="auto"/>
                <w:sz w:val="18"/>
                <w:szCs w:val="18"/>
              </w:rPr>
              <w:t>/</w:t>
            </w:r>
          </w:p>
        </w:tc>
        <w:tc>
          <w:tcPr>
            <w:tcW w:w="252" w:type="pct"/>
            <w:tcMar>
              <w:left w:w="57" w:type="dxa"/>
              <w:right w:w="57" w:type="dxa"/>
            </w:tcMar>
            <w:vAlign w:val="center"/>
          </w:tcPr>
          <w:p w14:paraId="418EB5C6">
            <w:pPr>
              <w:adjustRightInd w:val="0"/>
              <w:snapToGrid w:val="0"/>
              <w:jc w:val="center"/>
              <w:rPr>
                <w:rFonts w:eastAsiaTheme="minorEastAsia"/>
                <w:color w:val="auto"/>
                <w:sz w:val="18"/>
                <w:szCs w:val="18"/>
              </w:rPr>
            </w:pPr>
            <w:r>
              <w:rPr>
                <w:rFonts w:eastAsiaTheme="minorEastAsia"/>
                <w:color w:val="auto"/>
                <w:sz w:val="18"/>
                <w:szCs w:val="18"/>
              </w:rPr>
              <w:t>/</w:t>
            </w:r>
          </w:p>
        </w:tc>
        <w:tc>
          <w:tcPr>
            <w:tcW w:w="323" w:type="pct"/>
            <w:gridSpan w:val="2"/>
            <w:tcMar>
              <w:left w:w="57" w:type="dxa"/>
              <w:right w:w="57" w:type="dxa"/>
            </w:tcMar>
            <w:vAlign w:val="center"/>
          </w:tcPr>
          <w:p w14:paraId="210B8276">
            <w:pPr>
              <w:adjustRightInd w:val="0"/>
              <w:snapToGrid w:val="0"/>
              <w:jc w:val="center"/>
              <w:rPr>
                <w:rFonts w:eastAsiaTheme="minorEastAsia"/>
                <w:color w:val="auto"/>
                <w:sz w:val="18"/>
                <w:szCs w:val="18"/>
              </w:rPr>
            </w:pPr>
            <w:r>
              <w:rPr>
                <w:rFonts w:eastAsiaTheme="minorEastAsia"/>
                <w:color w:val="auto"/>
                <w:sz w:val="18"/>
                <w:szCs w:val="18"/>
              </w:rPr>
              <w:t>/</w:t>
            </w:r>
          </w:p>
        </w:tc>
        <w:tc>
          <w:tcPr>
            <w:tcW w:w="418" w:type="pct"/>
            <w:tcMar>
              <w:left w:w="57" w:type="dxa"/>
              <w:right w:w="57" w:type="dxa"/>
            </w:tcMar>
            <w:vAlign w:val="center"/>
          </w:tcPr>
          <w:p w14:paraId="7229DBDF">
            <w:pPr>
              <w:adjustRightInd w:val="0"/>
              <w:snapToGrid w:val="0"/>
              <w:jc w:val="center"/>
              <w:rPr>
                <w:rFonts w:eastAsiaTheme="minorEastAsia"/>
                <w:color w:val="auto"/>
                <w:sz w:val="18"/>
                <w:szCs w:val="18"/>
              </w:rPr>
            </w:pPr>
            <w:r>
              <w:rPr>
                <w:rFonts w:eastAsiaTheme="minorEastAsia"/>
                <w:color w:val="auto"/>
                <w:sz w:val="18"/>
                <w:szCs w:val="18"/>
              </w:rPr>
              <w:t>/</w:t>
            </w:r>
          </w:p>
        </w:tc>
        <w:tc>
          <w:tcPr>
            <w:tcW w:w="240" w:type="pct"/>
            <w:gridSpan w:val="2"/>
            <w:tcMar>
              <w:left w:w="57" w:type="dxa"/>
              <w:right w:w="57" w:type="dxa"/>
            </w:tcMar>
            <w:vAlign w:val="center"/>
          </w:tcPr>
          <w:p w14:paraId="1AA2BB13">
            <w:pPr>
              <w:adjustRightInd w:val="0"/>
              <w:snapToGrid w:val="0"/>
              <w:jc w:val="center"/>
              <w:rPr>
                <w:rFonts w:eastAsiaTheme="minorEastAsia"/>
                <w:color w:val="auto"/>
                <w:sz w:val="18"/>
                <w:szCs w:val="18"/>
              </w:rPr>
            </w:pPr>
            <w:r>
              <w:rPr>
                <w:rFonts w:eastAsiaTheme="minorEastAsia"/>
                <w:color w:val="auto"/>
                <w:sz w:val="18"/>
                <w:szCs w:val="18"/>
              </w:rPr>
              <w:t>/</w:t>
            </w:r>
          </w:p>
        </w:tc>
        <w:tc>
          <w:tcPr>
            <w:tcW w:w="766" w:type="pct"/>
            <w:tcMar>
              <w:left w:w="57" w:type="dxa"/>
              <w:right w:w="57" w:type="dxa"/>
            </w:tcMar>
            <w:vAlign w:val="center"/>
          </w:tcPr>
          <w:p w14:paraId="0D1B4DFA">
            <w:pPr>
              <w:adjustRightInd w:val="0"/>
              <w:snapToGrid w:val="0"/>
              <w:jc w:val="center"/>
              <w:rPr>
                <w:rFonts w:eastAsiaTheme="minorEastAsia"/>
                <w:color w:val="auto"/>
                <w:sz w:val="18"/>
                <w:szCs w:val="18"/>
              </w:rPr>
            </w:pPr>
            <w:r>
              <w:rPr>
                <w:rFonts w:eastAsiaTheme="minorEastAsia"/>
                <w:color w:val="auto"/>
                <w:sz w:val="18"/>
                <w:szCs w:val="18"/>
              </w:rPr>
              <w:t>/</w:t>
            </w:r>
          </w:p>
        </w:tc>
        <w:tc>
          <w:tcPr>
            <w:tcW w:w="310" w:type="pct"/>
            <w:tcMar>
              <w:left w:w="57" w:type="dxa"/>
              <w:right w:w="57" w:type="dxa"/>
            </w:tcMar>
            <w:vAlign w:val="center"/>
          </w:tcPr>
          <w:p w14:paraId="01A47C60">
            <w:pPr>
              <w:adjustRightInd w:val="0"/>
              <w:snapToGrid w:val="0"/>
              <w:jc w:val="center"/>
              <w:rPr>
                <w:rFonts w:eastAsiaTheme="minorEastAsia"/>
                <w:color w:val="auto"/>
                <w:sz w:val="18"/>
                <w:szCs w:val="18"/>
              </w:rPr>
            </w:pPr>
            <w:r>
              <w:rPr>
                <w:rFonts w:eastAsiaTheme="minorEastAsia"/>
                <w:color w:val="auto"/>
                <w:sz w:val="18"/>
                <w:szCs w:val="18"/>
              </w:rPr>
              <w:t>/</w:t>
            </w:r>
          </w:p>
        </w:tc>
        <w:tc>
          <w:tcPr>
            <w:tcW w:w="379" w:type="pct"/>
            <w:gridSpan w:val="2"/>
            <w:tcMar>
              <w:left w:w="57" w:type="dxa"/>
              <w:right w:w="57" w:type="dxa"/>
            </w:tcMar>
            <w:vAlign w:val="center"/>
          </w:tcPr>
          <w:p w14:paraId="1801A4A0">
            <w:pPr>
              <w:adjustRightInd w:val="0"/>
              <w:snapToGrid w:val="0"/>
              <w:jc w:val="center"/>
              <w:rPr>
                <w:rFonts w:eastAsiaTheme="minorEastAsia"/>
                <w:color w:val="auto"/>
                <w:sz w:val="18"/>
                <w:szCs w:val="18"/>
              </w:rPr>
            </w:pPr>
            <w:r>
              <w:rPr>
                <w:rFonts w:eastAsiaTheme="minorEastAsia"/>
                <w:color w:val="auto"/>
                <w:sz w:val="18"/>
                <w:szCs w:val="18"/>
              </w:rPr>
              <w:t>/</w:t>
            </w:r>
          </w:p>
        </w:tc>
        <w:tc>
          <w:tcPr>
            <w:tcW w:w="358" w:type="pct"/>
            <w:gridSpan w:val="2"/>
            <w:tcMar>
              <w:left w:w="57" w:type="dxa"/>
              <w:right w:w="57" w:type="dxa"/>
            </w:tcMar>
            <w:vAlign w:val="center"/>
          </w:tcPr>
          <w:p w14:paraId="6716401B">
            <w:pPr>
              <w:adjustRightInd w:val="0"/>
              <w:snapToGrid w:val="0"/>
              <w:jc w:val="center"/>
              <w:rPr>
                <w:rFonts w:eastAsiaTheme="minorEastAsia"/>
                <w:color w:val="auto"/>
                <w:sz w:val="18"/>
                <w:szCs w:val="18"/>
              </w:rPr>
            </w:pPr>
            <w:r>
              <w:rPr>
                <w:rFonts w:eastAsiaTheme="minorEastAsia"/>
                <w:color w:val="auto"/>
                <w:sz w:val="18"/>
                <w:szCs w:val="18"/>
              </w:rPr>
              <w:t>/</w:t>
            </w:r>
          </w:p>
        </w:tc>
        <w:tc>
          <w:tcPr>
            <w:tcW w:w="314" w:type="pct"/>
            <w:tcMar>
              <w:left w:w="57" w:type="dxa"/>
              <w:right w:w="57" w:type="dxa"/>
            </w:tcMar>
            <w:vAlign w:val="center"/>
          </w:tcPr>
          <w:p w14:paraId="22025678">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r>
      <w:tr w14:paraId="6A0A38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4" w:type="pct"/>
            <w:gridSpan w:val="2"/>
            <w:vMerge w:val="continue"/>
            <w:tcMar>
              <w:left w:w="57" w:type="dxa"/>
              <w:right w:w="57" w:type="dxa"/>
            </w:tcMar>
            <w:vAlign w:val="center"/>
          </w:tcPr>
          <w:p w14:paraId="7ABFFE3C">
            <w:pPr>
              <w:adjustRightInd w:val="0"/>
              <w:snapToGrid w:val="0"/>
              <w:jc w:val="center"/>
              <w:rPr>
                <w:rFonts w:eastAsiaTheme="minorEastAsia"/>
                <w:color w:val="auto"/>
                <w:sz w:val="18"/>
                <w:szCs w:val="18"/>
              </w:rPr>
            </w:pPr>
          </w:p>
        </w:tc>
        <w:tc>
          <w:tcPr>
            <w:tcW w:w="314" w:type="pct"/>
            <w:vMerge w:val="continue"/>
            <w:tcMar>
              <w:left w:w="57" w:type="dxa"/>
              <w:right w:w="57" w:type="dxa"/>
            </w:tcMar>
            <w:vAlign w:val="center"/>
          </w:tcPr>
          <w:p w14:paraId="10A29A73">
            <w:pPr>
              <w:adjustRightInd w:val="0"/>
              <w:snapToGrid w:val="0"/>
              <w:jc w:val="center"/>
              <w:rPr>
                <w:rFonts w:eastAsiaTheme="minorEastAsia"/>
                <w:b/>
                <w:color w:val="auto"/>
                <w:sz w:val="18"/>
                <w:szCs w:val="18"/>
              </w:rPr>
            </w:pPr>
          </w:p>
        </w:tc>
        <w:tc>
          <w:tcPr>
            <w:tcW w:w="206" w:type="pct"/>
            <w:tcMar>
              <w:left w:w="57" w:type="dxa"/>
              <w:right w:w="57" w:type="dxa"/>
            </w:tcMar>
            <w:vAlign w:val="center"/>
          </w:tcPr>
          <w:p w14:paraId="28ABF1F1">
            <w:pPr>
              <w:adjustRightInd w:val="0"/>
              <w:snapToGrid w:val="0"/>
              <w:jc w:val="center"/>
              <w:rPr>
                <w:rFonts w:eastAsiaTheme="minorEastAsia"/>
                <w:color w:val="auto"/>
                <w:sz w:val="18"/>
                <w:szCs w:val="18"/>
              </w:rPr>
            </w:pPr>
            <w:r>
              <w:rPr>
                <w:rFonts w:eastAsiaTheme="minorEastAsia"/>
                <w:color w:val="auto"/>
                <w:sz w:val="18"/>
                <w:szCs w:val="18"/>
              </w:rPr>
              <w:t>/</w:t>
            </w:r>
          </w:p>
        </w:tc>
        <w:tc>
          <w:tcPr>
            <w:tcW w:w="172" w:type="pct"/>
            <w:tcMar>
              <w:left w:w="57" w:type="dxa"/>
              <w:right w:w="57" w:type="dxa"/>
            </w:tcMar>
            <w:vAlign w:val="center"/>
          </w:tcPr>
          <w:p w14:paraId="09B8270E">
            <w:pPr>
              <w:adjustRightInd w:val="0"/>
              <w:snapToGrid w:val="0"/>
              <w:jc w:val="center"/>
              <w:rPr>
                <w:rFonts w:eastAsiaTheme="minorEastAsia"/>
                <w:color w:val="auto"/>
                <w:sz w:val="18"/>
                <w:szCs w:val="18"/>
              </w:rPr>
            </w:pPr>
            <w:r>
              <w:rPr>
                <w:rFonts w:eastAsiaTheme="minorEastAsia"/>
                <w:color w:val="auto"/>
                <w:sz w:val="18"/>
                <w:szCs w:val="18"/>
              </w:rPr>
              <w:t>/</w:t>
            </w:r>
          </w:p>
        </w:tc>
        <w:tc>
          <w:tcPr>
            <w:tcW w:w="428" w:type="pct"/>
            <w:tcMar>
              <w:left w:w="57" w:type="dxa"/>
              <w:right w:w="57" w:type="dxa"/>
            </w:tcMar>
            <w:vAlign w:val="center"/>
          </w:tcPr>
          <w:p w14:paraId="69B0F6D9">
            <w:pPr>
              <w:adjustRightInd w:val="0"/>
              <w:snapToGrid w:val="0"/>
              <w:jc w:val="center"/>
              <w:rPr>
                <w:rFonts w:eastAsiaTheme="minorEastAsia"/>
                <w:color w:val="auto"/>
                <w:sz w:val="18"/>
                <w:szCs w:val="18"/>
              </w:rPr>
            </w:pPr>
            <w:r>
              <w:rPr>
                <w:rFonts w:eastAsiaTheme="minorEastAsia"/>
                <w:color w:val="auto"/>
                <w:sz w:val="18"/>
                <w:szCs w:val="18"/>
              </w:rPr>
              <w:t>/</w:t>
            </w:r>
          </w:p>
        </w:tc>
        <w:tc>
          <w:tcPr>
            <w:tcW w:w="339" w:type="pct"/>
            <w:tcMar>
              <w:left w:w="57" w:type="dxa"/>
              <w:right w:w="57" w:type="dxa"/>
            </w:tcMar>
            <w:vAlign w:val="center"/>
          </w:tcPr>
          <w:p w14:paraId="07E03EFE">
            <w:pPr>
              <w:adjustRightInd w:val="0"/>
              <w:snapToGrid w:val="0"/>
              <w:jc w:val="center"/>
              <w:rPr>
                <w:rFonts w:eastAsiaTheme="minorEastAsia"/>
                <w:color w:val="auto"/>
                <w:sz w:val="18"/>
                <w:szCs w:val="18"/>
              </w:rPr>
            </w:pPr>
            <w:r>
              <w:rPr>
                <w:rFonts w:eastAsiaTheme="minorEastAsia"/>
                <w:color w:val="auto"/>
                <w:sz w:val="18"/>
                <w:szCs w:val="18"/>
              </w:rPr>
              <w:t>/</w:t>
            </w:r>
          </w:p>
        </w:tc>
        <w:tc>
          <w:tcPr>
            <w:tcW w:w="252" w:type="pct"/>
            <w:tcMar>
              <w:left w:w="57" w:type="dxa"/>
              <w:right w:w="57" w:type="dxa"/>
            </w:tcMar>
            <w:vAlign w:val="center"/>
          </w:tcPr>
          <w:p w14:paraId="51F70028">
            <w:pPr>
              <w:adjustRightInd w:val="0"/>
              <w:snapToGrid w:val="0"/>
              <w:jc w:val="center"/>
              <w:rPr>
                <w:rFonts w:eastAsiaTheme="minorEastAsia"/>
                <w:color w:val="auto"/>
                <w:sz w:val="18"/>
                <w:szCs w:val="18"/>
              </w:rPr>
            </w:pPr>
            <w:r>
              <w:rPr>
                <w:rFonts w:eastAsiaTheme="minorEastAsia"/>
                <w:color w:val="auto"/>
                <w:sz w:val="18"/>
                <w:szCs w:val="18"/>
              </w:rPr>
              <w:t>/</w:t>
            </w:r>
          </w:p>
        </w:tc>
        <w:tc>
          <w:tcPr>
            <w:tcW w:w="323" w:type="pct"/>
            <w:gridSpan w:val="2"/>
            <w:tcMar>
              <w:left w:w="57" w:type="dxa"/>
              <w:right w:w="57" w:type="dxa"/>
            </w:tcMar>
            <w:vAlign w:val="center"/>
          </w:tcPr>
          <w:p w14:paraId="4BDCE203">
            <w:pPr>
              <w:adjustRightInd w:val="0"/>
              <w:snapToGrid w:val="0"/>
              <w:jc w:val="center"/>
              <w:rPr>
                <w:rFonts w:eastAsiaTheme="minorEastAsia"/>
                <w:color w:val="auto"/>
                <w:sz w:val="18"/>
                <w:szCs w:val="18"/>
              </w:rPr>
            </w:pPr>
            <w:r>
              <w:rPr>
                <w:rFonts w:eastAsiaTheme="minorEastAsia"/>
                <w:color w:val="auto"/>
                <w:sz w:val="18"/>
                <w:szCs w:val="18"/>
              </w:rPr>
              <w:t>/</w:t>
            </w:r>
          </w:p>
        </w:tc>
        <w:tc>
          <w:tcPr>
            <w:tcW w:w="418" w:type="pct"/>
            <w:tcMar>
              <w:left w:w="57" w:type="dxa"/>
              <w:right w:w="57" w:type="dxa"/>
            </w:tcMar>
            <w:vAlign w:val="center"/>
          </w:tcPr>
          <w:p w14:paraId="1CF39CCA">
            <w:pPr>
              <w:adjustRightInd w:val="0"/>
              <w:snapToGrid w:val="0"/>
              <w:jc w:val="center"/>
              <w:rPr>
                <w:rFonts w:eastAsiaTheme="minorEastAsia"/>
                <w:color w:val="auto"/>
                <w:sz w:val="18"/>
                <w:szCs w:val="18"/>
              </w:rPr>
            </w:pPr>
            <w:r>
              <w:rPr>
                <w:rFonts w:eastAsiaTheme="minorEastAsia"/>
                <w:color w:val="auto"/>
                <w:sz w:val="18"/>
                <w:szCs w:val="18"/>
              </w:rPr>
              <w:t>/</w:t>
            </w:r>
          </w:p>
        </w:tc>
        <w:tc>
          <w:tcPr>
            <w:tcW w:w="240" w:type="pct"/>
            <w:gridSpan w:val="2"/>
            <w:tcMar>
              <w:left w:w="57" w:type="dxa"/>
              <w:right w:w="57" w:type="dxa"/>
            </w:tcMar>
            <w:vAlign w:val="center"/>
          </w:tcPr>
          <w:p w14:paraId="1006A1D4">
            <w:pPr>
              <w:adjustRightInd w:val="0"/>
              <w:snapToGrid w:val="0"/>
              <w:jc w:val="center"/>
              <w:rPr>
                <w:rFonts w:eastAsiaTheme="minorEastAsia"/>
                <w:color w:val="auto"/>
                <w:sz w:val="18"/>
                <w:szCs w:val="18"/>
              </w:rPr>
            </w:pPr>
            <w:r>
              <w:rPr>
                <w:rFonts w:eastAsiaTheme="minorEastAsia"/>
                <w:color w:val="auto"/>
                <w:sz w:val="18"/>
                <w:szCs w:val="18"/>
              </w:rPr>
              <w:t>/</w:t>
            </w:r>
          </w:p>
        </w:tc>
        <w:tc>
          <w:tcPr>
            <w:tcW w:w="766" w:type="pct"/>
            <w:tcMar>
              <w:left w:w="57" w:type="dxa"/>
              <w:right w:w="57" w:type="dxa"/>
            </w:tcMar>
            <w:vAlign w:val="center"/>
          </w:tcPr>
          <w:p w14:paraId="312AE31E">
            <w:pPr>
              <w:adjustRightInd w:val="0"/>
              <w:snapToGrid w:val="0"/>
              <w:jc w:val="center"/>
              <w:rPr>
                <w:rFonts w:eastAsiaTheme="minorEastAsia"/>
                <w:color w:val="auto"/>
                <w:sz w:val="18"/>
                <w:szCs w:val="18"/>
              </w:rPr>
            </w:pPr>
            <w:r>
              <w:rPr>
                <w:rFonts w:eastAsiaTheme="minorEastAsia"/>
                <w:color w:val="auto"/>
                <w:sz w:val="18"/>
                <w:szCs w:val="18"/>
              </w:rPr>
              <w:t>/</w:t>
            </w:r>
          </w:p>
        </w:tc>
        <w:tc>
          <w:tcPr>
            <w:tcW w:w="310" w:type="pct"/>
            <w:tcMar>
              <w:left w:w="57" w:type="dxa"/>
              <w:right w:w="57" w:type="dxa"/>
            </w:tcMar>
            <w:vAlign w:val="center"/>
          </w:tcPr>
          <w:p w14:paraId="085399CD">
            <w:pPr>
              <w:adjustRightInd w:val="0"/>
              <w:snapToGrid w:val="0"/>
              <w:jc w:val="center"/>
              <w:rPr>
                <w:rFonts w:eastAsiaTheme="minorEastAsia"/>
                <w:color w:val="auto"/>
                <w:sz w:val="18"/>
                <w:szCs w:val="18"/>
              </w:rPr>
            </w:pPr>
            <w:r>
              <w:rPr>
                <w:rFonts w:eastAsiaTheme="minorEastAsia"/>
                <w:color w:val="auto"/>
                <w:sz w:val="18"/>
                <w:szCs w:val="18"/>
              </w:rPr>
              <w:t>/</w:t>
            </w:r>
          </w:p>
        </w:tc>
        <w:tc>
          <w:tcPr>
            <w:tcW w:w="379" w:type="pct"/>
            <w:gridSpan w:val="2"/>
            <w:tcMar>
              <w:left w:w="57" w:type="dxa"/>
              <w:right w:w="57" w:type="dxa"/>
            </w:tcMar>
            <w:vAlign w:val="center"/>
          </w:tcPr>
          <w:p w14:paraId="1D6833CA">
            <w:pPr>
              <w:adjustRightInd w:val="0"/>
              <w:snapToGrid w:val="0"/>
              <w:jc w:val="center"/>
              <w:rPr>
                <w:rFonts w:eastAsiaTheme="minorEastAsia"/>
                <w:color w:val="auto"/>
                <w:sz w:val="18"/>
                <w:szCs w:val="18"/>
              </w:rPr>
            </w:pPr>
            <w:r>
              <w:rPr>
                <w:rFonts w:eastAsiaTheme="minorEastAsia"/>
                <w:color w:val="auto"/>
                <w:sz w:val="18"/>
                <w:szCs w:val="18"/>
              </w:rPr>
              <w:t>/</w:t>
            </w:r>
          </w:p>
        </w:tc>
        <w:tc>
          <w:tcPr>
            <w:tcW w:w="358" w:type="pct"/>
            <w:gridSpan w:val="2"/>
            <w:tcMar>
              <w:left w:w="57" w:type="dxa"/>
              <w:right w:w="57" w:type="dxa"/>
            </w:tcMar>
            <w:vAlign w:val="center"/>
          </w:tcPr>
          <w:p w14:paraId="0E80D154">
            <w:pPr>
              <w:adjustRightInd w:val="0"/>
              <w:snapToGrid w:val="0"/>
              <w:jc w:val="center"/>
              <w:rPr>
                <w:rFonts w:eastAsiaTheme="minorEastAsia"/>
                <w:color w:val="auto"/>
                <w:sz w:val="18"/>
                <w:szCs w:val="18"/>
              </w:rPr>
            </w:pPr>
            <w:r>
              <w:rPr>
                <w:rFonts w:eastAsiaTheme="minorEastAsia"/>
                <w:color w:val="auto"/>
                <w:sz w:val="18"/>
                <w:szCs w:val="18"/>
              </w:rPr>
              <w:t>/</w:t>
            </w:r>
          </w:p>
        </w:tc>
        <w:tc>
          <w:tcPr>
            <w:tcW w:w="314" w:type="pct"/>
            <w:tcMar>
              <w:left w:w="57" w:type="dxa"/>
              <w:right w:w="57" w:type="dxa"/>
            </w:tcMar>
            <w:vAlign w:val="center"/>
          </w:tcPr>
          <w:p w14:paraId="5C3C47E7">
            <w:pPr>
              <w:adjustRightInd w:val="0"/>
              <w:snapToGrid w:val="0"/>
              <w:jc w:val="center"/>
              <w:rPr>
                <w:rFonts w:hint="eastAsia" w:eastAsiaTheme="minorEastAsia"/>
                <w:color w:val="auto"/>
                <w:sz w:val="18"/>
                <w:szCs w:val="18"/>
                <w:lang w:val="en-US" w:eastAsia="zh-CN"/>
              </w:rPr>
            </w:pPr>
            <w:r>
              <w:rPr>
                <w:rFonts w:hint="eastAsia" w:eastAsiaTheme="minorEastAsia"/>
                <w:color w:val="auto"/>
                <w:sz w:val="18"/>
                <w:szCs w:val="18"/>
                <w:lang w:val="en-US" w:eastAsia="zh-CN"/>
              </w:rPr>
              <w:t>/</w:t>
            </w:r>
          </w:p>
        </w:tc>
      </w:tr>
    </w:tbl>
    <w:p w14:paraId="2161FED4">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注：1、排放增减量：（+）表示增加，（-）表示减少；2、（12）=（6）-（8）-（11），（9）=（4）-（5）-（8）-（11）+（1）；3、计量单位：废水排放量——吨/年；废气排放量——万标立方米/年；工业固体废物排放量——吨/年；水污染物排放浓度——毫克/升；大气污染物排放浓度——毫克/立方米；水污染物排放量——吨/年；大气污染物排放量——吨/年。</w:t>
      </w:r>
    </w:p>
    <w:p w14:paraId="04A4C17E">
      <w:pPr>
        <w:widowControl/>
        <w:jc w:val="left"/>
        <w:rPr>
          <w:b/>
          <w:color w:val="000000" w:themeColor="text1"/>
          <w:sz w:val="24"/>
          <w:szCs w:val="24"/>
          <w14:textFill>
            <w14:solidFill>
              <w14:schemeClr w14:val="tx1"/>
            </w14:solidFill>
          </w14:textFill>
        </w:rPr>
      </w:pPr>
    </w:p>
    <w:p w14:paraId="0A46F315">
      <w:pPr>
        <w:pStyle w:val="10"/>
        <w:rPr>
          <w:color w:val="000000" w:themeColor="text1"/>
          <w14:textFill>
            <w14:solidFill>
              <w14:schemeClr w14:val="tx1"/>
            </w14:solidFill>
          </w14:textFill>
        </w:rPr>
      </w:pPr>
    </w:p>
    <w:p w14:paraId="0C7BB6DE">
      <w:pPr>
        <w:rPr>
          <w:color w:val="000000" w:themeColor="text1"/>
          <w14:textFill>
            <w14:solidFill>
              <w14:schemeClr w14:val="tx1"/>
            </w14:solidFill>
          </w14:textFill>
        </w:rPr>
      </w:pPr>
    </w:p>
    <w:sectPr>
      <w:headerReference r:id="rId7" w:type="default"/>
      <w:footerReference r:id="rId8" w:type="default"/>
      <w:pgSz w:w="16840" w:h="11907" w:orient="landscape"/>
      <w:pgMar w:top="1417" w:right="1417" w:bottom="1247" w:left="1417" w:header="851" w:footer="442" w:gutter="0"/>
      <w:pgBorders>
        <w:top w:val="none" w:sz="0" w:space="0"/>
        <w:left w:val="none" w:sz="0" w:space="0"/>
        <w:bottom w:val="none" w:sz="0" w:space="0"/>
        <w:right w:val="none" w:sz="0" w:space="0"/>
      </w:pgBorders>
      <w:cols w:space="0" w:num="1"/>
      <w:docGrid w:type="linesAndChars" w:linePitch="318" w:charSpace="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Garamond">
    <w:altName w:val="RomanS"/>
    <w:panose1 w:val="02020404030301010803"/>
    <w:charset w:val="00"/>
    <w:family w:val="roman"/>
    <w:pitch w:val="default"/>
    <w:sig w:usb0="00000000" w:usb1="00000000" w:usb2="00000000" w:usb3="00000000" w:csb0="0000009F" w:csb1="DFD70000"/>
  </w:font>
  <w:font w:name="RomanS">
    <w:panose1 w:val="02000400000000000000"/>
    <w:charset w:val="00"/>
    <w:family w:val="auto"/>
    <w:pitch w:val="default"/>
    <w:sig w:usb0="00000207" w:usb1="00000000" w:usb2="00000000" w:usb3="00000000" w:csb0="000001FF" w:csb1="00000000"/>
  </w:font>
  <w:font w:name="MS PMincho">
    <w:panose1 w:val="02020600040205080304"/>
    <w:charset w:val="80"/>
    <w:family w:val="roman"/>
    <w:pitch w:val="default"/>
    <w:sig w:usb0="E00002FF" w:usb1="6AC7FDFB" w:usb2="00000012" w:usb3="00000000" w:csb0="4002009F" w:csb1="DFD7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8A528">
    <w:pPr>
      <w:pStyle w:val="22"/>
      <w:wordWrap w:val="0"/>
      <w:spacing w:line="0" w:lineRule="atLeast"/>
      <w:ind w:right="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9E102">
    <w:pPr>
      <w:pStyle w:val="22"/>
      <w:framePr w:wrap="around" w:vAnchor="text" w:hAnchor="margin" w:xAlign="center" w:y="1"/>
      <w:rPr>
        <w:rStyle w:val="37"/>
      </w:rPr>
    </w:pPr>
    <w:r>
      <w:fldChar w:fldCharType="begin"/>
    </w:r>
    <w:r>
      <w:rPr>
        <w:rStyle w:val="37"/>
      </w:rPr>
      <w:instrText xml:space="preserve">PAGE  </w:instrText>
    </w:r>
    <w:r>
      <w:fldChar w:fldCharType="end"/>
    </w:r>
  </w:p>
  <w:p w14:paraId="59EC84C7">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EE164">
    <w:pPr>
      <w:pStyle w:val="22"/>
      <w:adjustRightInd w:val="0"/>
      <w:jc w:val="center"/>
    </w:pP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5</w:t>
    </w:r>
    <w:r>
      <w:rPr>
        <w:kern w:val="0"/>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AC7E">
    <w:pPr>
      <w:pStyle w:val="22"/>
      <w:spacing w:line="0" w:lineRule="atLeast"/>
      <w:jc w:val="center"/>
    </w:pP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29</w:t>
    </w:r>
    <w:r>
      <w:rPr>
        <w:kern w:val="0"/>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C5C68">
    <w:pPr>
      <w:pStyle w:val="23"/>
      <w:pBdr>
        <w:bottom w:val="none" w:color="auto" w:sz="0" w:space="0"/>
      </w:pBdr>
      <w:ind w:right="9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A1650">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BBED1"/>
    <w:multiLevelType w:val="singleLevel"/>
    <w:tmpl w:val="807BBED1"/>
    <w:lvl w:ilvl="0" w:tentative="0">
      <w:start w:val="15"/>
      <w:numFmt w:val="decimal"/>
      <w:suff w:val="nothing"/>
      <w:lvlText w:val="（%1）"/>
      <w:lvlJc w:val="left"/>
    </w:lvl>
  </w:abstractNum>
  <w:abstractNum w:abstractNumId="1">
    <w:nsid w:val="B60C1680"/>
    <w:multiLevelType w:val="singleLevel"/>
    <w:tmpl w:val="B60C1680"/>
    <w:lvl w:ilvl="0" w:tentative="0">
      <w:start w:val="1"/>
      <w:numFmt w:val="decimal"/>
      <w:suff w:val="nothing"/>
      <w:lvlText w:val="%1、"/>
      <w:lvlJc w:val="left"/>
    </w:lvl>
  </w:abstractNum>
  <w:abstractNum w:abstractNumId="2">
    <w:nsid w:val="D96BDC12"/>
    <w:multiLevelType w:val="singleLevel"/>
    <w:tmpl w:val="D96BDC12"/>
    <w:lvl w:ilvl="0" w:tentative="0">
      <w:start w:val="1"/>
      <w:numFmt w:val="decimal"/>
      <w:pStyle w:val="115"/>
      <w:suff w:val="nothing"/>
      <w:lvlText w:val="表1-%1"/>
      <w:lvlJc w:val="center"/>
      <w:pPr>
        <w:tabs>
          <w:tab w:val="left" w:pos="0"/>
        </w:tabs>
        <w:ind w:left="0" w:firstLine="0"/>
      </w:pPr>
      <w:rPr>
        <w:rFonts w:hint="default"/>
        <w:b/>
        <w:bCs/>
        <w:sz w:val="18"/>
        <w:szCs w:val="18"/>
      </w:rPr>
    </w:lvl>
  </w:abstractNum>
  <w:abstractNum w:abstractNumId="3">
    <w:nsid w:val="F2C668BA"/>
    <w:multiLevelType w:val="singleLevel"/>
    <w:tmpl w:val="F2C668BA"/>
    <w:lvl w:ilvl="0" w:tentative="0">
      <w:start w:val="2"/>
      <w:numFmt w:val="decimal"/>
      <w:suff w:val="nothing"/>
      <w:lvlText w:val="%1）"/>
      <w:lvlJc w:val="left"/>
    </w:lvl>
  </w:abstractNum>
  <w:abstractNum w:abstractNumId="4">
    <w:nsid w:val="F5040C9F"/>
    <w:multiLevelType w:val="singleLevel"/>
    <w:tmpl w:val="F5040C9F"/>
    <w:lvl w:ilvl="0" w:tentative="0">
      <w:start w:val="1"/>
      <w:numFmt w:val="decimal"/>
      <w:suff w:val="nothing"/>
      <w:lvlText w:val="%1、"/>
      <w:lvlJc w:val="left"/>
    </w:lvl>
  </w:abstractNum>
  <w:abstractNum w:abstractNumId="5">
    <w:nsid w:val="0622C950"/>
    <w:multiLevelType w:val="singleLevel"/>
    <w:tmpl w:val="0622C950"/>
    <w:lvl w:ilvl="0" w:tentative="0">
      <w:start w:val="2"/>
      <w:numFmt w:val="decimal"/>
      <w:suff w:val="nothing"/>
      <w:lvlText w:val="（%1）"/>
      <w:lvlJc w:val="left"/>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yZWYyNmZiMDRkMDc2ZjAwOTk3MmJhODNkZThjOGMifQ=="/>
    <w:docVar w:name="KSO_WPS_MARK_KEY" w:val="c8e95dbb-86eb-4a24-a612-7beae5523a51"/>
  </w:docVars>
  <w:rsids>
    <w:rsidRoot w:val="00172A27"/>
    <w:rsid w:val="0000012D"/>
    <w:rsid w:val="00000A75"/>
    <w:rsid w:val="00000D94"/>
    <w:rsid w:val="0000158B"/>
    <w:rsid w:val="000019DD"/>
    <w:rsid w:val="00001B4D"/>
    <w:rsid w:val="00001FBE"/>
    <w:rsid w:val="000024E0"/>
    <w:rsid w:val="00002C72"/>
    <w:rsid w:val="0000348E"/>
    <w:rsid w:val="0000387E"/>
    <w:rsid w:val="000038E3"/>
    <w:rsid w:val="00003983"/>
    <w:rsid w:val="00004360"/>
    <w:rsid w:val="00005363"/>
    <w:rsid w:val="000053F2"/>
    <w:rsid w:val="000059C4"/>
    <w:rsid w:val="00005FCA"/>
    <w:rsid w:val="000071AD"/>
    <w:rsid w:val="000078FB"/>
    <w:rsid w:val="0001025C"/>
    <w:rsid w:val="000104BD"/>
    <w:rsid w:val="00010755"/>
    <w:rsid w:val="00010A9F"/>
    <w:rsid w:val="00010C96"/>
    <w:rsid w:val="00010D2B"/>
    <w:rsid w:val="00011604"/>
    <w:rsid w:val="00011973"/>
    <w:rsid w:val="00012405"/>
    <w:rsid w:val="0001254B"/>
    <w:rsid w:val="00012AF0"/>
    <w:rsid w:val="000131E9"/>
    <w:rsid w:val="00013784"/>
    <w:rsid w:val="00013FAF"/>
    <w:rsid w:val="0001421B"/>
    <w:rsid w:val="00015A1B"/>
    <w:rsid w:val="00015B07"/>
    <w:rsid w:val="00015EDD"/>
    <w:rsid w:val="00016787"/>
    <w:rsid w:val="00016956"/>
    <w:rsid w:val="00016BFA"/>
    <w:rsid w:val="00016D2F"/>
    <w:rsid w:val="00016D76"/>
    <w:rsid w:val="0001711B"/>
    <w:rsid w:val="00017329"/>
    <w:rsid w:val="00017835"/>
    <w:rsid w:val="00017932"/>
    <w:rsid w:val="00017C04"/>
    <w:rsid w:val="00020875"/>
    <w:rsid w:val="00021745"/>
    <w:rsid w:val="0002184E"/>
    <w:rsid w:val="00021C40"/>
    <w:rsid w:val="00022370"/>
    <w:rsid w:val="00022377"/>
    <w:rsid w:val="00022895"/>
    <w:rsid w:val="00022A87"/>
    <w:rsid w:val="00022B95"/>
    <w:rsid w:val="000230EF"/>
    <w:rsid w:val="0002355A"/>
    <w:rsid w:val="000243E3"/>
    <w:rsid w:val="000243F5"/>
    <w:rsid w:val="000248DE"/>
    <w:rsid w:val="00024957"/>
    <w:rsid w:val="00025409"/>
    <w:rsid w:val="00026359"/>
    <w:rsid w:val="000265DF"/>
    <w:rsid w:val="0002664A"/>
    <w:rsid w:val="00026EDC"/>
    <w:rsid w:val="00027538"/>
    <w:rsid w:val="00027748"/>
    <w:rsid w:val="0002793B"/>
    <w:rsid w:val="00027CEB"/>
    <w:rsid w:val="00030C92"/>
    <w:rsid w:val="00030F95"/>
    <w:rsid w:val="0003119B"/>
    <w:rsid w:val="000311D1"/>
    <w:rsid w:val="0003200E"/>
    <w:rsid w:val="0003221E"/>
    <w:rsid w:val="00032375"/>
    <w:rsid w:val="000337A3"/>
    <w:rsid w:val="00033893"/>
    <w:rsid w:val="00033EF2"/>
    <w:rsid w:val="00034395"/>
    <w:rsid w:val="00034BB4"/>
    <w:rsid w:val="0003552D"/>
    <w:rsid w:val="00035762"/>
    <w:rsid w:val="00035AA8"/>
    <w:rsid w:val="00036152"/>
    <w:rsid w:val="00036A62"/>
    <w:rsid w:val="00037322"/>
    <w:rsid w:val="00037CF6"/>
    <w:rsid w:val="00037DC8"/>
    <w:rsid w:val="00040186"/>
    <w:rsid w:val="00040967"/>
    <w:rsid w:val="000412EA"/>
    <w:rsid w:val="000415BD"/>
    <w:rsid w:val="0004173A"/>
    <w:rsid w:val="000423B8"/>
    <w:rsid w:val="000428F2"/>
    <w:rsid w:val="000430F2"/>
    <w:rsid w:val="0004333C"/>
    <w:rsid w:val="00043421"/>
    <w:rsid w:val="0004385D"/>
    <w:rsid w:val="00043AB3"/>
    <w:rsid w:val="00043BF8"/>
    <w:rsid w:val="00043FA8"/>
    <w:rsid w:val="0004429C"/>
    <w:rsid w:val="000447EF"/>
    <w:rsid w:val="00044C3B"/>
    <w:rsid w:val="00044DA3"/>
    <w:rsid w:val="00044F08"/>
    <w:rsid w:val="00044FED"/>
    <w:rsid w:val="00045130"/>
    <w:rsid w:val="0004566E"/>
    <w:rsid w:val="000457A4"/>
    <w:rsid w:val="000458AA"/>
    <w:rsid w:val="00045C67"/>
    <w:rsid w:val="00046071"/>
    <w:rsid w:val="000462E0"/>
    <w:rsid w:val="00046726"/>
    <w:rsid w:val="0004757D"/>
    <w:rsid w:val="00047C28"/>
    <w:rsid w:val="00047C7F"/>
    <w:rsid w:val="00047E5E"/>
    <w:rsid w:val="00050120"/>
    <w:rsid w:val="000502FF"/>
    <w:rsid w:val="00050674"/>
    <w:rsid w:val="00051162"/>
    <w:rsid w:val="000511E0"/>
    <w:rsid w:val="0005159D"/>
    <w:rsid w:val="0005178B"/>
    <w:rsid w:val="000518A2"/>
    <w:rsid w:val="000518A8"/>
    <w:rsid w:val="00051DCC"/>
    <w:rsid w:val="00051DF8"/>
    <w:rsid w:val="00051F05"/>
    <w:rsid w:val="00052302"/>
    <w:rsid w:val="000528B2"/>
    <w:rsid w:val="00052B77"/>
    <w:rsid w:val="00052B7C"/>
    <w:rsid w:val="00052BE6"/>
    <w:rsid w:val="00052EA3"/>
    <w:rsid w:val="00053569"/>
    <w:rsid w:val="0005366C"/>
    <w:rsid w:val="00053D04"/>
    <w:rsid w:val="0005435B"/>
    <w:rsid w:val="0005475F"/>
    <w:rsid w:val="00054C7A"/>
    <w:rsid w:val="00054CB7"/>
    <w:rsid w:val="00055151"/>
    <w:rsid w:val="00055523"/>
    <w:rsid w:val="00056D44"/>
    <w:rsid w:val="00056D7A"/>
    <w:rsid w:val="00056FD1"/>
    <w:rsid w:val="0005766B"/>
    <w:rsid w:val="00057998"/>
    <w:rsid w:val="00057A39"/>
    <w:rsid w:val="00057FBA"/>
    <w:rsid w:val="000604B3"/>
    <w:rsid w:val="00060BB9"/>
    <w:rsid w:val="00060EAE"/>
    <w:rsid w:val="0006152B"/>
    <w:rsid w:val="000617BE"/>
    <w:rsid w:val="00061D29"/>
    <w:rsid w:val="00061EA4"/>
    <w:rsid w:val="000635C7"/>
    <w:rsid w:val="000637C1"/>
    <w:rsid w:val="00063D7F"/>
    <w:rsid w:val="000646E5"/>
    <w:rsid w:val="000647F9"/>
    <w:rsid w:val="00064BDC"/>
    <w:rsid w:val="000650ED"/>
    <w:rsid w:val="00065696"/>
    <w:rsid w:val="0006579F"/>
    <w:rsid w:val="00065B8F"/>
    <w:rsid w:val="00065E8B"/>
    <w:rsid w:val="000660A3"/>
    <w:rsid w:val="00066437"/>
    <w:rsid w:val="00066B79"/>
    <w:rsid w:val="00067C3A"/>
    <w:rsid w:val="00070236"/>
    <w:rsid w:val="00070757"/>
    <w:rsid w:val="00070AF0"/>
    <w:rsid w:val="00070B7D"/>
    <w:rsid w:val="00070DC8"/>
    <w:rsid w:val="00071039"/>
    <w:rsid w:val="00071845"/>
    <w:rsid w:val="00071ABE"/>
    <w:rsid w:val="00071AD7"/>
    <w:rsid w:val="00071CF6"/>
    <w:rsid w:val="00072365"/>
    <w:rsid w:val="000724C8"/>
    <w:rsid w:val="00072612"/>
    <w:rsid w:val="00072995"/>
    <w:rsid w:val="00072A25"/>
    <w:rsid w:val="00073B83"/>
    <w:rsid w:val="00073CC2"/>
    <w:rsid w:val="00073F32"/>
    <w:rsid w:val="00073FE7"/>
    <w:rsid w:val="000745DB"/>
    <w:rsid w:val="00074A66"/>
    <w:rsid w:val="00075589"/>
    <w:rsid w:val="0007575B"/>
    <w:rsid w:val="00075BBD"/>
    <w:rsid w:val="00075D36"/>
    <w:rsid w:val="00076454"/>
    <w:rsid w:val="00077560"/>
    <w:rsid w:val="000777EA"/>
    <w:rsid w:val="00077A63"/>
    <w:rsid w:val="00077A9D"/>
    <w:rsid w:val="00077CC8"/>
    <w:rsid w:val="00077EEF"/>
    <w:rsid w:val="000802EF"/>
    <w:rsid w:val="000818D6"/>
    <w:rsid w:val="00081A6B"/>
    <w:rsid w:val="00081C64"/>
    <w:rsid w:val="00081D70"/>
    <w:rsid w:val="00082028"/>
    <w:rsid w:val="000821EE"/>
    <w:rsid w:val="00082334"/>
    <w:rsid w:val="0008253E"/>
    <w:rsid w:val="000826A7"/>
    <w:rsid w:val="00082955"/>
    <w:rsid w:val="00082EB1"/>
    <w:rsid w:val="00083626"/>
    <w:rsid w:val="00083AAE"/>
    <w:rsid w:val="00083AB9"/>
    <w:rsid w:val="00083B18"/>
    <w:rsid w:val="00083B86"/>
    <w:rsid w:val="00084443"/>
    <w:rsid w:val="0008485C"/>
    <w:rsid w:val="00084C3E"/>
    <w:rsid w:val="000851CC"/>
    <w:rsid w:val="000853B9"/>
    <w:rsid w:val="00085924"/>
    <w:rsid w:val="00085D6E"/>
    <w:rsid w:val="00086038"/>
    <w:rsid w:val="00086A91"/>
    <w:rsid w:val="00086D61"/>
    <w:rsid w:val="00086F65"/>
    <w:rsid w:val="00087185"/>
    <w:rsid w:val="000877AA"/>
    <w:rsid w:val="00087F70"/>
    <w:rsid w:val="0009032B"/>
    <w:rsid w:val="00090568"/>
    <w:rsid w:val="000906C5"/>
    <w:rsid w:val="00091099"/>
    <w:rsid w:val="0009119C"/>
    <w:rsid w:val="00092544"/>
    <w:rsid w:val="00092680"/>
    <w:rsid w:val="00093221"/>
    <w:rsid w:val="00093814"/>
    <w:rsid w:val="000939B6"/>
    <w:rsid w:val="00093DA8"/>
    <w:rsid w:val="00094225"/>
    <w:rsid w:val="0009436B"/>
    <w:rsid w:val="00094930"/>
    <w:rsid w:val="00094C1B"/>
    <w:rsid w:val="00094D90"/>
    <w:rsid w:val="000950E3"/>
    <w:rsid w:val="00095BBC"/>
    <w:rsid w:val="00097001"/>
    <w:rsid w:val="00097066"/>
    <w:rsid w:val="00097913"/>
    <w:rsid w:val="000A0AF0"/>
    <w:rsid w:val="000A1248"/>
    <w:rsid w:val="000A18B6"/>
    <w:rsid w:val="000A1D55"/>
    <w:rsid w:val="000A1E8F"/>
    <w:rsid w:val="000A2C70"/>
    <w:rsid w:val="000A31D2"/>
    <w:rsid w:val="000A409A"/>
    <w:rsid w:val="000A4118"/>
    <w:rsid w:val="000A416D"/>
    <w:rsid w:val="000A41C3"/>
    <w:rsid w:val="000A46C8"/>
    <w:rsid w:val="000A5B0A"/>
    <w:rsid w:val="000A5D03"/>
    <w:rsid w:val="000A5D39"/>
    <w:rsid w:val="000A5E15"/>
    <w:rsid w:val="000A6AC4"/>
    <w:rsid w:val="000B02F1"/>
    <w:rsid w:val="000B08EB"/>
    <w:rsid w:val="000B0C53"/>
    <w:rsid w:val="000B1611"/>
    <w:rsid w:val="000B2011"/>
    <w:rsid w:val="000B22F2"/>
    <w:rsid w:val="000B2312"/>
    <w:rsid w:val="000B25A1"/>
    <w:rsid w:val="000B25B5"/>
    <w:rsid w:val="000B273C"/>
    <w:rsid w:val="000B2A12"/>
    <w:rsid w:val="000B353C"/>
    <w:rsid w:val="000B3DCB"/>
    <w:rsid w:val="000B4C73"/>
    <w:rsid w:val="000B4E1E"/>
    <w:rsid w:val="000B4F28"/>
    <w:rsid w:val="000B4FF4"/>
    <w:rsid w:val="000B5388"/>
    <w:rsid w:val="000B54D1"/>
    <w:rsid w:val="000B566D"/>
    <w:rsid w:val="000B5A4D"/>
    <w:rsid w:val="000B610A"/>
    <w:rsid w:val="000B6408"/>
    <w:rsid w:val="000B644B"/>
    <w:rsid w:val="000B6694"/>
    <w:rsid w:val="000B68E2"/>
    <w:rsid w:val="000B6CEE"/>
    <w:rsid w:val="000B6D59"/>
    <w:rsid w:val="000B7220"/>
    <w:rsid w:val="000B7304"/>
    <w:rsid w:val="000B7E0B"/>
    <w:rsid w:val="000B7ECD"/>
    <w:rsid w:val="000C04CB"/>
    <w:rsid w:val="000C06FA"/>
    <w:rsid w:val="000C0800"/>
    <w:rsid w:val="000C0F30"/>
    <w:rsid w:val="000C0FE9"/>
    <w:rsid w:val="000C10F2"/>
    <w:rsid w:val="000C1872"/>
    <w:rsid w:val="000C1D2A"/>
    <w:rsid w:val="000C1D3E"/>
    <w:rsid w:val="000C1F9D"/>
    <w:rsid w:val="000C22B2"/>
    <w:rsid w:val="000C2307"/>
    <w:rsid w:val="000C256C"/>
    <w:rsid w:val="000C2684"/>
    <w:rsid w:val="000C2BF4"/>
    <w:rsid w:val="000C2EBC"/>
    <w:rsid w:val="000C3A5F"/>
    <w:rsid w:val="000C497F"/>
    <w:rsid w:val="000C4ED1"/>
    <w:rsid w:val="000C5245"/>
    <w:rsid w:val="000C535F"/>
    <w:rsid w:val="000C5C36"/>
    <w:rsid w:val="000C5D0C"/>
    <w:rsid w:val="000C5D87"/>
    <w:rsid w:val="000C66C0"/>
    <w:rsid w:val="000C69B0"/>
    <w:rsid w:val="000C72B2"/>
    <w:rsid w:val="000C7386"/>
    <w:rsid w:val="000C75E6"/>
    <w:rsid w:val="000C7635"/>
    <w:rsid w:val="000C7788"/>
    <w:rsid w:val="000C7F45"/>
    <w:rsid w:val="000D0190"/>
    <w:rsid w:val="000D081C"/>
    <w:rsid w:val="000D0CBE"/>
    <w:rsid w:val="000D100E"/>
    <w:rsid w:val="000D1425"/>
    <w:rsid w:val="000D1607"/>
    <w:rsid w:val="000D1A3D"/>
    <w:rsid w:val="000D2325"/>
    <w:rsid w:val="000D26B3"/>
    <w:rsid w:val="000D29FF"/>
    <w:rsid w:val="000D3168"/>
    <w:rsid w:val="000D3F6C"/>
    <w:rsid w:val="000D46D5"/>
    <w:rsid w:val="000D49F9"/>
    <w:rsid w:val="000D4C2C"/>
    <w:rsid w:val="000D545B"/>
    <w:rsid w:val="000D5AFD"/>
    <w:rsid w:val="000D6973"/>
    <w:rsid w:val="000D6C21"/>
    <w:rsid w:val="000D782F"/>
    <w:rsid w:val="000E01F2"/>
    <w:rsid w:val="000E0252"/>
    <w:rsid w:val="000E0D7C"/>
    <w:rsid w:val="000E0FD1"/>
    <w:rsid w:val="000E1042"/>
    <w:rsid w:val="000E1503"/>
    <w:rsid w:val="000E17CD"/>
    <w:rsid w:val="000E2114"/>
    <w:rsid w:val="000E2EF8"/>
    <w:rsid w:val="000E3161"/>
    <w:rsid w:val="000E39D1"/>
    <w:rsid w:val="000E4422"/>
    <w:rsid w:val="000E4AB2"/>
    <w:rsid w:val="000E54A5"/>
    <w:rsid w:val="000E5560"/>
    <w:rsid w:val="000E61D3"/>
    <w:rsid w:val="000E6385"/>
    <w:rsid w:val="000E6493"/>
    <w:rsid w:val="000E655B"/>
    <w:rsid w:val="000E6B1E"/>
    <w:rsid w:val="000E6BDB"/>
    <w:rsid w:val="000E7056"/>
    <w:rsid w:val="000E76CE"/>
    <w:rsid w:val="000F005E"/>
    <w:rsid w:val="000F00A6"/>
    <w:rsid w:val="000F0A4F"/>
    <w:rsid w:val="000F0BDD"/>
    <w:rsid w:val="000F192F"/>
    <w:rsid w:val="000F1ADE"/>
    <w:rsid w:val="000F24BA"/>
    <w:rsid w:val="000F266D"/>
    <w:rsid w:val="000F2912"/>
    <w:rsid w:val="000F2B05"/>
    <w:rsid w:val="000F2F4F"/>
    <w:rsid w:val="000F372C"/>
    <w:rsid w:val="000F3B0C"/>
    <w:rsid w:val="000F3F88"/>
    <w:rsid w:val="000F3FBA"/>
    <w:rsid w:val="000F5224"/>
    <w:rsid w:val="000F5EB3"/>
    <w:rsid w:val="000F5F4F"/>
    <w:rsid w:val="000F6561"/>
    <w:rsid w:val="000F6B73"/>
    <w:rsid w:val="000F714F"/>
    <w:rsid w:val="000F71E8"/>
    <w:rsid w:val="000F741A"/>
    <w:rsid w:val="000F785D"/>
    <w:rsid w:val="000F7CC1"/>
    <w:rsid w:val="000F7EF2"/>
    <w:rsid w:val="00100600"/>
    <w:rsid w:val="0010144C"/>
    <w:rsid w:val="0010182F"/>
    <w:rsid w:val="00101CB5"/>
    <w:rsid w:val="001025B9"/>
    <w:rsid w:val="00102C7C"/>
    <w:rsid w:val="0010442B"/>
    <w:rsid w:val="001050EC"/>
    <w:rsid w:val="001058EC"/>
    <w:rsid w:val="001062BD"/>
    <w:rsid w:val="0010643D"/>
    <w:rsid w:val="00106685"/>
    <w:rsid w:val="00106DDF"/>
    <w:rsid w:val="00107EF6"/>
    <w:rsid w:val="00110359"/>
    <w:rsid w:val="00110BC9"/>
    <w:rsid w:val="00110CD3"/>
    <w:rsid w:val="00111332"/>
    <w:rsid w:val="00111634"/>
    <w:rsid w:val="00111ED9"/>
    <w:rsid w:val="00111EF4"/>
    <w:rsid w:val="0011255E"/>
    <w:rsid w:val="001125D3"/>
    <w:rsid w:val="00112631"/>
    <w:rsid w:val="0011296D"/>
    <w:rsid w:val="0011298B"/>
    <w:rsid w:val="00112FE1"/>
    <w:rsid w:val="00114DF1"/>
    <w:rsid w:val="00115155"/>
    <w:rsid w:val="00115C6E"/>
    <w:rsid w:val="00115C7D"/>
    <w:rsid w:val="001165D5"/>
    <w:rsid w:val="00116CE1"/>
    <w:rsid w:val="001170A1"/>
    <w:rsid w:val="00117F04"/>
    <w:rsid w:val="00120124"/>
    <w:rsid w:val="0012054F"/>
    <w:rsid w:val="00120756"/>
    <w:rsid w:val="00120824"/>
    <w:rsid w:val="00120923"/>
    <w:rsid w:val="00120B58"/>
    <w:rsid w:val="001214A4"/>
    <w:rsid w:val="001216BC"/>
    <w:rsid w:val="00121A0A"/>
    <w:rsid w:val="00121C0D"/>
    <w:rsid w:val="00121C7F"/>
    <w:rsid w:val="00121E3B"/>
    <w:rsid w:val="00122657"/>
    <w:rsid w:val="00122FAB"/>
    <w:rsid w:val="001234FB"/>
    <w:rsid w:val="001235AD"/>
    <w:rsid w:val="001236D0"/>
    <w:rsid w:val="00123900"/>
    <w:rsid w:val="00123A18"/>
    <w:rsid w:val="00123CDC"/>
    <w:rsid w:val="00124275"/>
    <w:rsid w:val="00125202"/>
    <w:rsid w:val="00125443"/>
    <w:rsid w:val="00125C23"/>
    <w:rsid w:val="00125DA5"/>
    <w:rsid w:val="00126919"/>
    <w:rsid w:val="00126E4E"/>
    <w:rsid w:val="001272B0"/>
    <w:rsid w:val="00127322"/>
    <w:rsid w:val="00127E3C"/>
    <w:rsid w:val="00127EC8"/>
    <w:rsid w:val="00130016"/>
    <w:rsid w:val="00130359"/>
    <w:rsid w:val="00130BDE"/>
    <w:rsid w:val="001310D9"/>
    <w:rsid w:val="001313B6"/>
    <w:rsid w:val="0013160B"/>
    <w:rsid w:val="00131F86"/>
    <w:rsid w:val="001320B7"/>
    <w:rsid w:val="00132DFA"/>
    <w:rsid w:val="00132EF3"/>
    <w:rsid w:val="001336FD"/>
    <w:rsid w:val="00134131"/>
    <w:rsid w:val="00134407"/>
    <w:rsid w:val="001348C6"/>
    <w:rsid w:val="00134C3E"/>
    <w:rsid w:val="00134D74"/>
    <w:rsid w:val="001360F7"/>
    <w:rsid w:val="00136173"/>
    <w:rsid w:val="00136530"/>
    <w:rsid w:val="00136584"/>
    <w:rsid w:val="001366B7"/>
    <w:rsid w:val="001369C2"/>
    <w:rsid w:val="00136B73"/>
    <w:rsid w:val="00136B84"/>
    <w:rsid w:val="00136EE5"/>
    <w:rsid w:val="001371C5"/>
    <w:rsid w:val="0013735F"/>
    <w:rsid w:val="001375BB"/>
    <w:rsid w:val="00137F30"/>
    <w:rsid w:val="00140931"/>
    <w:rsid w:val="001410E1"/>
    <w:rsid w:val="00141D23"/>
    <w:rsid w:val="00141F30"/>
    <w:rsid w:val="001424AF"/>
    <w:rsid w:val="00142680"/>
    <w:rsid w:val="0014276B"/>
    <w:rsid w:val="00142A34"/>
    <w:rsid w:val="0014379C"/>
    <w:rsid w:val="00144135"/>
    <w:rsid w:val="001445C1"/>
    <w:rsid w:val="00144957"/>
    <w:rsid w:val="001449FA"/>
    <w:rsid w:val="00144A04"/>
    <w:rsid w:val="0014662B"/>
    <w:rsid w:val="001466C9"/>
    <w:rsid w:val="0014683C"/>
    <w:rsid w:val="001474EE"/>
    <w:rsid w:val="00147B2B"/>
    <w:rsid w:val="00147EBF"/>
    <w:rsid w:val="00147F7C"/>
    <w:rsid w:val="00150687"/>
    <w:rsid w:val="0015080B"/>
    <w:rsid w:val="001508E5"/>
    <w:rsid w:val="00150ADF"/>
    <w:rsid w:val="0015147E"/>
    <w:rsid w:val="0015176A"/>
    <w:rsid w:val="00151979"/>
    <w:rsid w:val="00151C6C"/>
    <w:rsid w:val="00151ED2"/>
    <w:rsid w:val="00152210"/>
    <w:rsid w:val="00152355"/>
    <w:rsid w:val="001525C9"/>
    <w:rsid w:val="00152B3A"/>
    <w:rsid w:val="00153925"/>
    <w:rsid w:val="00153DEC"/>
    <w:rsid w:val="001544EB"/>
    <w:rsid w:val="00154646"/>
    <w:rsid w:val="00154E31"/>
    <w:rsid w:val="00155965"/>
    <w:rsid w:val="001573DA"/>
    <w:rsid w:val="00157C1B"/>
    <w:rsid w:val="00157C39"/>
    <w:rsid w:val="00160C60"/>
    <w:rsid w:val="00160C7B"/>
    <w:rsid w:val="00160DB1"/>
    <w:rsid w:val="001612EA"/>
    <w:rsid w:val="0016168A"/>
    <w:rsid w:val="0016189C"/>
    <w:rsid w:val="00161CB3"/>
    <w:rsid w:val="0016297B"/>
    <w:rsid w:val="00162B41"/>
    <w:rsid w:val="00162D98"/>
    <w:rsid w:val="00162F70"/>
    <w:rsid w:val="0016324A"/>
    <w:rsid w:val="001633CA"/>
    <w:rsid w:val="00163801"/>
    <w:rsid w:val="00163890"/>
    <w:rsid w:val="001638C9"/>
    <w:rsid w:val="00163970"/>
    <w:rsid w:val="00163DA6"/>
    <w:rsid w:val="0016420C"/>
    <w:rsid w:val="00164CE9"/>
    <w:rsid w:val="00165274"/>
    <w:rsid w:val="0016545D"/>
    <w:rsid w:val="001659DF"/>
    <w:rsid w:val="00165EEA"/>
    <w:rsid w:val="001666B5"/>
    <w:rsid w:val="0016762D"/>
    <w:rsid w:val="00167762"/>
    <w:rsid w:val="00167913"/>
    <w:rsid w:val="00167C2F"/>
    <w:rsid w:val="00170812"/>
    <w:rsid w:val="00170925"/>
    <w:rsid w:val="00170BE2"/>
    <w:rsid w:val="00170E29"/>
    <w:rsid w:val="0017126E"/>
    <w:rsid w:val="0017139F"/>
    <w:rsid w:val="00171A73"/>
    <w:rsid w:val="0017218B"/>
    <w:rsid w:val="00172A27"/>
    <w:rsid w:val="00172DAF"/>
    <w:rsid w:val="00172DB8"/>
    <w:rsid w:val="0017301C"/>
    <w:rsid w:val="00173688"/>
    <w:rsid w:val="001736BB"/>
    <w:rsid w:val="00173DE0"/>
    <w:rsid w:val="00173F32"/>
    <w:rsid w:val="0017423E"/>
    <w:rsid w:val="0017434A"/>
    <w:rsid w:val="00174987"/>
    <w:rsid w:val="00174AC9"/>
    <w:rsid w:val="00174BB9"/>
    <w:rsid w:val="00174CB2"/>
    <w:rsid w:val="00174FAB"/>
    <w:rsid w:val="001759DF"/>
    <w:rsid w:val="00175B72"/>
    <w:rsid w:val="00175FCA"/>
    <w:rsid w:val="00176811"/>
    <w:rsid w:val="00176BC8"/>
    <w:rsid w:val="001779FD"/>
    <w:rsid w:val="00177BC8"/>
    <w:rsid w:val="00177E6C"/>
    <w:rsid w:val="00180541"/>
    <w:rsid w:val="00180717"/>
    <w:rsid w:val="001809A9"/>
    <w:rsid w:val="00180BC9"/>
    <w:rsid w:val="00180D37"/>
    <w:rsid w:val="00180D82"/>
    <w:rsid w:val="00180E61"/>
    <w:rsid w:val="00180F93"/>
    <w:rsid w:val="0018112E"/>
    <w:rsid w:val="00181244"/>
    <w:rsid w:val="00181C0A"/>
    <w:rsid w:val="001820DA"/>
    <w:rsid w:val="00182169"/>
    <w:rsid w:val="00182747"/>
    <w:rsid w:val="00182D28"/>
    <w:rsid w:val="001833DC"/>
    <w:rsid w:val="00183C88"/>
    <w:rsid w:val="00183F6D"/>
    <w:rsid w:val="00184CEE"/>
    <w:rsid w:val="00184DBE"/>
    <w:rsid w:val="00184E42"/>
    <w:rsid w:val="001855C0"/>
    <w:rsid w:val="00186440"/>
    <w:rsid w:val="00186A02"/>
    <w:rsid w:val="00186ABA"/>
    <w:rsid w:val="00186F66"/>
    <w:rsid w:val="001870FF"/>
    <w:rsid w:val="00190A03"/>
    <w:rsid w:val="00190B4E"/>
    <w:rsid w:val="001912B3"/>
    <w:rsid w:val="00191C71"/>
    <w:rsid w:val="00191DEF"/>
    <w:rsid w:val="00191E7E"/>
    <w:rsid w:val="00191F29"/>
    <w:rsid w:val="00191F7F"/>
    <w:rsid w:val="0019290D"/>
    <w:rsid w:val="0019298F"/>
    <w:rsid w:val="00192D6C"/>
    <w:rsid w:val="0019319A"/>
    <w:rsid w:val="001932A1"/>
    <w:rsid w:val="00193DE5"/>
    <w:rsid w:val="00194246"/>
    <w:rsid w:val="001943BB"/>
    <w:rsid w:val="001943F5"/>
    <w:rsid w:val="001944DA"/>
    <w:rsid w:val="0019485B"/>
    <w:rsid w:val="001954CF"/>
    <w:rsid w:val="00195809"/>
    <w:rsid w:val="00196075"/>
    <w:rsid w:val="0019646F"/>
    <w:rsid w:val="00196B2F"/>
    <w:rsid w:val="00197391"/>
    <w:rsid w:val="0019758A"/>
    <w:rsid w:val="00197772"/>
    <w:rsid w:val="00197A96"/>
    <w:rsid w:val="00197BF7"/>
    <w:rsid w:val="001A0025"/>
    <w:rsid w:val="001A05D3"/>
    <w:rsid w:val="001A0FE4"/>
    <w:rsid w:val="001A10E4"/>
    <w:rsid w:val="001A14E9"/>
    <w:rsid w:val="001A1AD2"/>
    <w:rsid w:val="001A1B5A"/>
    <w:rsid w:val="001A2377"/>
    <w:rsid w:val="001A248D"/>
    <w:rsid w:val="001A265D"/>
    <w:rsid w:val="001A2833"/>
    <w:rsid w:val="001A2BA6"/>
    <w:rsid w:val="001A30DD"/>
    <w:rsid w:val="001A31AC"/>
    <w:rsid w:val="001A3A9E"/>
    <w:rsid w:val="001A4309"/>
    <w:rsid w:val="001A437C"/>
    <w:rsid w:val="001A4494"/>
    <w:rsid w:val="001A44E2"/>
    <w:rsid w:val="001A4814"/>
    <w:rsid w:val="001A4D54"/>
    <w:rsid w:val="001A5140"/>
    <w:rsid w:val="001A5C97"/>
    <w:rsid w:val="001A665D"/>
    <w:rsid w:val="001A7604"/>
    <w:rsid w:val="001B04D7"/>
    <w:rsid w:val="001B050C"/>
    <w:rsid w:val="001B05D8"/>
    <w:rsid w:val="001B070E"/>
    <w:rsid w:val="001B08F5"/>
    <w:rsid w:val="001B0E0C"/>
    <w:rsid w:val="001B174C"/>
    <w:rsid w:val="001B187D"/>
    <w:rsid w:val="001B191C"/>
    <w:rsid w:val="001B2490"/>
    <w:rsid w:val="001B27E9"/>
    <w:rsid w:val="001B2A1A"/>
    <w:rsid w:val="001B30DB"/>
    <w:rsid w:val="001B3697"/>
    <w:rsid w:val="001B38F2"/>
    <w:rsid w:val="001B3A3C"/>
    <w:rsid w:val="001B3FAE"/>
    <w:rsid w:val="001B4E77"/>
    <w:rsid w:val="001B4FEA"/>
    <w:rsid w:val="001B573B"/>
    <w:rsid w:val="001B5F46"/>
    <w:rsid w:val="001B6110"/>
    <w:rsid w:val="001B658A"/>
    <w:rsid w:val="001B6621"/>
    <w:rsid w:val="001B6A0A"/>
    <w:rsid w:val="001B6B32"/>
    <w:rsid w:val="001B6BC1"/>
    <w:rsid w:val="001B719E"/>
    <w:rsid w:val="001B72E8"/>
    <w:rsid w:val="001B7AA7"/>
    <w:rsid w:val="001B7D15"/>
    <w:rsid w:val="001C034A"/>
    <w:rsid w:val="001C0D0A"/>
    <w:rsid w:val="001C1989"/>
    <w:rsid w:val="001C19BD"/>
    <w:rsid w:val="001C1CC9"/>
    <w:rsid w:val="001C26E7"/>
    <w:rsid w:val="001C2855"/>
    <w:rsid w:val="001C2A81"/>
    <w:rsid w:val="001C2E64"/>
    <w:rsid w:val="001C2EED"/>
    <w:rsid w:val="001C355B"/>
    <w:rsid w:val="001C38B3"/>
    <w:rsid w:val="001C3955"/>
    <w:rsid w:val="001C401B"/>
    <w:rsid w:val="001C43D6"/>
    <w:rsid w:val="001C5797"/>
    <w:rsid w:val="001C5EC4"/>
    <w:rsid w:val="001C61B9"/>
    <w:rsid w:val="001C6201"/>
    <w:rsid w:val="001C64C9"/>
    <w:rsid w:val="001C666D"/>
    <w:rsid w:val="001C6BFD"/>
    <w:rsid w:val="001C6E1A"/>
    <w:rsid w:val="001C727D"/>
    <w:rsid w:val="001C7281"/>
    <w:rsid w:val="001C7CDA"/>
    <w:rsid w:val="001D000B"/>
    <w:rsid w:val="001D0BC5"/>
    <w:rsid w:val="001D10A2"/>
    <w:rsid w:val="001D15E9"/>
    <w:rsid w:val="001D15F3"/>
    <w:rsid w:val="001D1770"/>
    <w:rsid w:val="001D185B"/>
    <w:rsid w:val="001D1BA7"/>
    <w:rsid w:val="001D1D04"/>
    <w:rsid w:val="001D1F7E"/>
    <w:rsid w:val="001D24EE"/>
    <w:rsid w:val="001D2670"/>
    <w:rsid w:val="001D2CB6"/>
    <w:rsid w:val="001D31E9"/>
    <w:rsid w:val="001D3487"/>
    <w:rsid w:val="001D3800"/>
    <w:rsid w:val="001D3A29"/>
    <w:rsid w:val="001D3B7D"/>
    <w:rsid w:val="001D426A"/>
    <w:rsid w:val="001D42BB"/>
    <w:rsid w:val="001D4B94"/>
    <w:rsid w:val="001D5370"/>
    <w:rsid w:val="001D53CB"/>
    <w:rsid w:val="001D63AC"/>
    <w:rsid w:val="001D6E72"/>
    <w:rsid w:val="001D6EEE"/>
    <w:rsid w:val="001D7B3E"/>
    <w:rsid w:val="001D7BA9"/>
    <w:rsid w:val="001D7D0B"/>
    <w:rsid w:val="001D7E4C"/>
    <w:rsid w:val="001D7F7C"/>
    <w:rsid w:val="001E13BC"/>
    <w:rsid w:val="001E1884"/>
    <w:rsid w:val="001E1A02"/>
    <w:rsid w:val="001E1FB5"/>
    <w:rsid w:val="001E31EC"/>
    <w:rsid w:val="001E34C4"/>
    <w:rsid w:val="001E36CB"/>
    <w:rsid w:val="001E3842"/>
    <w:rsid w:val="001E3A93"/>
    <w:rsid w:val="001E3D26"/>
    <w:rsid w:val="001E3E96"/>
    <w:rsid w:val="001E43BB"/>
    <w:rsid w:val="001E444B"/>
    <w:rsid w:val="001E4459"/>
    <w:rsid w:val="001E44E0"/>
    <w:rsid w:val="001E46E9"/>
    <w:rsid w:val="001E476D"/>
    <w:rsid w:val="001E4B13"/>
    <w:rsid w:val="001E4F54"/>
    <w:rsid w:val="001E500D"/>
    <w:rsid w:val="001E535D"/>
    <w:rsid w:val="001E58EE"/>
    <w:rsid w:val="001E69A2"/>
    <w:rsid w:val="001E6ABB"/>
    <w:rsid w:val="001E6E3A"/>
    <w:rsid w:val="001E7A8C"/>
    <w:rsid w:val="001F0D62"/>
    <w:rsid w:val="001F0D6A"/>
    <w:rsid w:val="001F162F"/>
    <w:rsid w:val="001F167E"/>
    <w:rsid w:val="001F17A1"/>
    <w:rsid w:val="001F1829"/>
    <w:rsid w:val="001F196A"/>
    <w:rsid w:val="001F1D97"/>
    <w:rsid w:val="001F1E5F"/>
    <w:rsid w:val="001F1F6F"/>
    <w:rsid w:val="001F2874"/>
    <w:rsid w:val="001F2951"/>
    <w:rsid w:val="001F2BC0"/>
    <w:rsid w:val="001F34F6"/>
    <w:rsid w:val="001F3689"/>
    <w:rsid w:val="001F3831"/>
    <w:rsid w:val="001F45AF"/>
    <w:rsid w:val="001F45E4"/>
    <w:rsid w:val="001F49C6"/>
    <w:rsid w:val="001F5218"/>
    <w:rsid w:val="001F5375"/>
    <w:rsid w:val="001F58CB"/>
    <w:rsid w:val="001F5B7C"/>
    <w:rsid w:val="001F5D50"/>
    <w:rsid w:val="001F5E16"/>
    <w:rsid w:val="001F5F15"/>
    <w:rsid w:val="001F67AA"/>
    <w:rsid w:val="001F6E63"/>
    <w:rsid w:val="001F7736"/>
    <w:rsid w:val="001F7742"/>
    <w:rsid w:val="001F7CF1"/>
    <w:rsid w:val="001F7D15"/>
    <w:rsid w:val="001F7FAE"/>
    <w:rsid w:val="0020053E"/>
    <w:rsid w:val="002006B8"/>
    <w:rsid w:val="0020076C"/>
    <w:rsid w:val="00200C34"/>
    <w:rsid w:val="002013BB"/>
    <w:rsid w:val="002013DC"/>
    <w:rsid w:val="00201972"/>
    <w:rsid w:val="00201C78"/>
    <w:rsid w:val="00201DEF"/>
    <w:rsid w:val="00201F2C"/>
    <w:rsid w:val="00202355"/>
    <w:rsid w:val="0020266E"/>
    <w:rsid w:val="00202B9A"/>
    <w:rsid w:val="00202E2D"/>
    <w:rsid w:val="00202EEE"/>
    <w:rsid w:val="002034EE"/>
    <w:rsid w:val="002036AF"/>
    <w:rsid w:val="0020425B"/>
    <w:rsid w:val="002042CF"/>
    <w:rsid w:val="002043AB"/>
    <w:rsid w:val="00204AE7"/>
    <w:rsid w:val="00204C4C"/>
    <w:rsid w:val="002053DD"/>
    <w:rsid w:val="00205900"/>
    <w:rsid w:val="00205C1C"/>
    <w:rsid w:val="00206154"/>
    <w:rsid w:val="00206585"/>
    <w:rsid w:val="002067D0"/>
    <w:rsid w:val="00206941"/>
    <w:rsid w:val="002069F4"/>
    <w:rsid w:val="00206A3A"/>
    <w:rsid w:val="002073F4"/>
    <w:rsid w:val="00207447"/>
    <w:rsid w:val="00210231"/>
    <w:rsid w:val="00210A32"/>
    <w:rsid w:val="00210A6E"/>
    <w:rsid w:val="00210CB5"/>
    <w:rsid w:val="002118B8"/>
    <w:rsid w:val="00211D38"/>
    <w:rsid w:val="00211FEA"/>
    <w:rsid w:val="002121F2"/>
    <w:rsid w:val="00212279"/>
    <w:rsid w:val="002124A0"/>
    <w:rsid w:val="00212ECC"/>
    <w:rsid w:val="00213F96"/>
    <w:rsid w:val="0021436C"/>
    <w:rsid w:val="00214883"/>
    <w:rsid w:val="002153D5"/>
    <w:rsid w:val="00215CBE"/>
    <w:rsid w:val="002162AD"/>
    <w:rsid w:val="002167CD"/>
    <w:rsid w:val="00217443"/>
    <w:rsid w:val="0021770E"/>
    <w:rsid w:val="00217A32"/>
    <w:rsid w:val="00217E75"/>
    <w:rsid w:val="00217FC8"/>
    <w:rsid w:val="00217FFB"/>
    <w:rsid w:val="0022010C"/>
    <w:rsid w:val="00220278"/>
    <w:rsid w:val="00220A3E"/>
    <w:rsid w:val="00221754"/>
    <w:rsid w:val="00221805"/>
    <w:rsid w:val="00221EEE"/>
    <w:rsid w:val="002224A7"/>
    <w:rsid w:val="00222FD9"/>
    <w:rsid w:val="002235FB"/>
    <w:rsid w:val="00223D3A"/>
    <w:rsid w:val="00224106"/>
    <w:rsid w:val="00224811"/>
    <w:rsid w:val="00224922"/>
    <w:rsid w:val="002250A4"/>
    <w:rsid w:val="002253F8"/>
    <w:rsid w:val="002254F6"/>
    <w:rsid w:val="0022550F"/>
    <w:rsid w:val="00225A80"/>
    <w:rsid w:val="00227039"/>
    <w:rsid w:val="002272D9"/>
    <w:rsid w:val="002277CB"/>
    <w:rsid w:val="00227BE6"/>
    <w:rsid w:val="00230714"/>
    <w:rsid w:val="002308DA"/>
    <w:rsid w:val="0023118C"/>
    <w:rsid w:val="00231725"/>
    <w:rsid w:val="0023198D"/>
    <w:rsid w:val="00231B16"/>
    <w:rsid w:val="00231BDE"/>
    <w:rsid w:val="00231E01"/>
    <w:rsid w:val="00231E6C"/>
    <w:rsid w:val="00231F2E"/>
    <w:rsid w:val="00232030"/>
    <w:rsid w:val="00232051"/>
    <w:rsid w:val="002322B6"/>
    <w:rsid w:val="0023255D"/>
    <w:rsid w:val="00232905"/>
    <w:rsid w:val="00232EC3"/>
    <w:rsid w:val="00233037"/>
    <w:rsid w:val="00233418"/>
    <w:rsid w:val="002338D6"/>
    <w:rsid w:val="00233DCF"/>
    <w:rsid w:val="00234730"/>
    <w:rsid w:val="00234958"/>
    <w:rsid w:val="00235072"/>
    <w:rsid w:val="00235771"/>
    <w:rsid w:val="00235E6E"/>
    <w:rsid w:val="00235E9A"/>
    <w:rsid w:val="00236154"/>
    <w:rsid w:val="00236301"/>
    <w:rsid w:val="002364B0"/>
    <w:rsid w:val="00237942"/>
    <w:rsid w:val="00237CAF"/>
    <w:rsid w:val="00237DD7"/>
    <w:rsid w:val="00237E78"/>
    <w:rsid w:val="00240156"/>
    <w:rsid w:val="00240C1D"/>
    <w:rsid w:val="00240D84"/>
    <w:rsid w:val="00241C94"/>
    <w:rsid w:val="002423DA"/>
    <w:rsid w:val="00242495"/>
    <w:rsid w:val="0024251A"/>
    <w:rsid w:val="00242543"/>
    <w:rsid w:val="00242BB7"/>
    <w:rsid w:val="00242E31"/>
    <w:rsid w:val="0024316A"/>
    <w:rsid w:val="00243282"/>
    <w:rsid w:val="00243439"/>
    <w:rsid w:val="00243917"/>
    <w:rsid w:val="00243C6A"/>
    <w:rsid w:val="00244366"/>
    <w:rsid w:val="00244D51"/>
    <w:rsid w:val="00245619"/>
    <w:rsid w:val="002456AF"/>
    <w:rsid w:val="00245C8C"/>
    <w:rsid w:val="00246303"/>
    <w:rsid w:val="0024637B"/>
    <w:rsid w:val="00246910"/>
    <w:rsid w:val="00246AA0"/>
    <w:rsid w:val="00246EF9"/>
    <w:rsid w:val="00246F87"/>
    <w:rsid w:val="00246FA7"/>
    <w:rsid w:val="00247137"/>
    <w:rsid w:val="00247547"/>
    <w:rsid w:val="00247872"/>
    <w:rsid w:val="00247FFE"/>
    <w:rsid w:val="00250B6D"/>
    <w:rsid w:val="00250CD5"/>
    <w:rsid w:val="00250E69"/>
    <w:rsid w:val="00250EEB"/>
    <w:rsid w:val="002516F1"/>
    <w:rsid w:val="00252071"/>
    <w:rsid w:val="00252E3D"/>
    <w:rsid w:val="00252EEE"/>
    <w:rsid w:val="002530F2"/>
    <w:rsid w:val="0025318C"/>
    <w:rsid w:val="002531AC"/>
    <w:rsid w:val="002532E3"/>
    <w:rsid w:val="002540AB"/>
    <w:rsid w:val="0025450F"/>
    <w:rsid w:val="002545A7"/>
    <w:rsid w:val="00254A11"/>
    <w:rsid w:val="00254AD4"/>
    <w:rsid w:val="00254D36"/>
    <w:rsid w:val="002553CF"/>
    <w:rsid w:val="002554AD"/>
    <w:rsid w:val="00256340"/>
    <w:rsid w:val="002564F4"/>
    <w:rsid w:val="00256731"/>
    <w:rsid w:val="00256897"/>
    <w:rsid w:val="00256A14"/>
    <w:rsid w:val="00256C09"/>
    <w:rsid w:val="00256FCE"/>
    <w:rsid w:val="0025701D"/>
    <w:rsid w:val="002578A6"/>
    <w:rsid w:val="00260C74"/>
    <w:rsid w:val="00260C88"/>
    <w:rsid w:val="002611F0"/>
    <w:rsid w:val="0026130D"/>
    <w:rsid w:val="00261C66"/>
    <w:rsid w:val="002626C8"/>
    <w:rsid w:val="0026271A"/>
    <w:rsid w:val="00262771"/>
    <w:rsid w:val="0026285C"/>
    <w:rsid w:val="00262B38"/>
    <w:rsid w:val="002634DE"/>
    <w:rsid w:val="00263E5A"/>
    <w:rsid w:val="00264633"/>
    <w:rsid w:val="002647D6"/>
    <w:rsid w:val="00264ADC"/>
    <w:rsid w:val="0026530E"/>
    <w:rsid w:val="00265732"/>
    <w:rsid w:val="00265BDC"/>
    <w:rsid w:val="00265C5E"/>
    <w:rsid w:val="00266003"/>
    <w:rsid w:val="00266C51"/>
    <w:rsid w:val="00266F0C"/>
    <w:rsid w:val="0026760F"/>
    <w:rsid w:val="00267617"/>
    <w:rsid w:val="002676A9"/>
    <w:rsid w:val="00267C96"/>
    <w:rsid w:val="002704F0"/>
    <w:rsid w:val="00270C1B"/>
    <w:rsid w:val="0027172B"/>
    <w:rsid w:val="00271A82"/>
    <w:rsid w:val="00271CCD"/>
    <w:rsid w:val="00271FDF"/>
    <w:rsid w:val="002722A4"/>
    <w:rsid w:val="002722DD"/>
    <w:rsid w:val="00272876"/>
    <w:rsid w:val="002729A7"/>
    <w:rsid w:val="00272B92"/>
    <w:rsid w:val="0027388C"/>
    <w:rsid w:val="00273C5B"/>
    <w:rsid w:val="00273D19"/>
    <w:rsid w:val="00273EB3"/>
    <w:rsid w:val="00273FE0"/>
    <w:rsid w:val="00274245"/>
    <w:rsid w:val="00275608"/>
    <w:rsid w:val="0027605F"/>
    <w:rsid w:val="002768C4"/>
    <w:rsid w:val="002768D0"/>
    <w:rsid w:val="00276A8A"/>
    <w:rsid w:val="00276C20"/>
    <w:rsid w:val="00277020"/>
    <w:rsid w:val="0027716E"/>
    <w:rsid w:val="00277449"/>
    <w:rsid w:val="00277D6D"/>
    <w:rsid w:val="00280281"/>
    <w:rsid w:val="00280548"/>
    <w:rsid w:val="002805BF"/>
    <w:rsid w:val="00280615"/>
    <w:rsid w:val="00280683"/>
    <w:rsid w:val="002806E3"/>
    <w:rsid w:val="00280BFC"/>
    <w:rsid w:val="00280C02"/>
    <w:rsid w:val="00281BBA"/>
    <w:rsid w:val="00281BE1"/>
    <w:rsid w:val="00282114"/>
    <w:rsid w:val="002821D8"/>
    <w:rsid w:val="00282483"/>
    <w:rsid w:val="002824F4"/>
    <w:rsid w:val="00282935"/>
    <w:rsid w:val="0028296E"/>
    <w:rsid w:val="00282FA9"/>
    <w:rsid w:val="00283869"/>
    <w:rsid w:val="002838FC"/>
    <w:rsid w:val="00283CAD"/>
    <w:rsid w:val="00283D79"/>
    <w:rsid w:val="0028427F"/>
    <w:rsid w:val="0028459A"/>
    <w:rsid w:val="00285087"/>
    <w:rsid w:val="00285271"/>
    <w:rsid w:val="00285BB7"/>
    <w:rsid w:val="00285CAE"/>
    <w:rsid w:val="002866D5"/>
    <w:rsid w:val="00286717"/>
    <w:rsid w:val="00286B11"/>
    <w:rsid w:val="00286C8D"/>
    <w:rsid w:val="00286CBB"/>
    <w:rsid w:val="00286DC0"/>
    <w:rsid w:val="00287065"/>
    <w:rsid w:val="0028726E"/>
    <w:rsid w:val="0028733C"/>
    <w:rsid w:val="0028789C"/>
    <w:rsid w:val="00287BCA"/>
    <w:rsid w:val="00287C96"/>
    <w:rsid w:val="00287DBE"/>
    <w:rsid w:val="00287E40"/>
    <w:rsid w:val="00287F0F"/>
    <w:rsid w:val="0029002F"/>
    <w:rsid w:val="002908CE"/>
    <w:rsid w:val="00290DE9"/>
    <w:rsid w:val="002917A3"/>
    <w:rsid w:val="002918CD"/>
    <w:rsid w:val="00291A0B"/>
    <w:rsid w:val="002920B8"/>
    <w:rsid w:val="002922C2"/>
    <w:rsid w:val="002923E5"/>
    <w:rsid w:val="00292909"/>
    <w:rsid w:val="00293005"/>
    <w:rsid w:val="0029325C"/>
    <w:rsid w:val="00293566"/>
    <w:rsid w:val="00293698"/>
    <w:rsid w:val="0029380B"/>
    <w:rsid w:val="00293A0E"/>
    <w:rsid w:val="00293A73"/>
    <w:rsid w:val="00293C31"/>
    <w:rsid w:val="00294B36"/>
    <w:rsid w:val="00294E82"/>
    <w:rsid w:val="002956BF"/>
    <w:rsid w:val="0029570C"/>
    <w:rsid w:val="00295895"/>
    <w:rsid w:val="00295BAD"/>
    <w:rsid w:val="00295F5D"/>
    <w:rsid w:val="00296167"/>
    <w:rsid w:val="00296358"/>
    <w:rsid w:val="002968F7"/>
    <w:rsid w:val="00296B1A"/>
    <w:rsid w:val="00297338"/>
    <w:rsid w:val="0029751F"/>
    <w:rsid w:val="002A0187"/>
    <w:rsid w:val="002A021F"/>
    <w:rsid w:val="002A0DDA"/>
    <w:rsid w:val="002A10BB"/>
    <w:rsid w:val="002A2111"/>
    <w:rsid w:val="002A23FC"/>
    <w:rsid w:val="002A2D91"/>
    <w:rsid w:val="002A39DD"/>
    <w:rsid w:val="002A3F92"/>
    <w:rsid w:val="002A41F9"/>
    <w:rsid w:val="002A4306"/>
    <w:rsid w:val="002A591A"/>
    <w:rsid w:val="002A6908"/>
    <w:rsid w:val="002A6FB0"/>
    <w:rsid w:val="002A707E"/>
    <w:rsid w:val="002A712A"/>
    <w:rsid w:val="002A768E"/>
    <w:rsid w:val="002A7C84"/>
    <w:rsid w:val="002B0621"/>
    <w:rsid w:val="002B0B6F"/>
    <w:rsid w:val="002B0C3F"/>
    <w:rsid w:val="002B0F28"/>
    <w:rsid w:val="002B12DB"/>
    <w:rsid w:val="002B2430"/>
    <w:rsid w:val="002B2CFC"/>
    <w:rsid w:val="002B2F1A"/>
    <w:rsid w:val="002B3D51"/>
    <w:rsid w:val="002B4224"/>
    <w:rsid w:val="002B42F4"/>
    <w:rsid w:val="002B460C"/>
    <w:rsid w:val="002B50A3"/>
    <w:rsid w:val="002B5239"/>
    <w:rsid w:val="002B5481"/>
    <w:rsid w:val="002B563B"/>
    <w:rsid w:val="002B56F4"/>
    <w:rsid w:val="002B5ABF"/>
    <w:rsid w:val="002B5FF3"/>
    <w:rsid w:val="002B66FA"/>
    <w:rsid w:val="002B6BF9"/>
    <w:rsid w:val="002B7184"/>
    <w:rsid w:val="002B759C"/>
    <w:rsid w:val="002B7713"/>
    <w:rsid w:val="002B7993"/>
    <w:rsid w:val="002B7BFD"/>
    <w:rsid w:val="002B7DDB"/>
    <w:rsid w:val="002C0283"/>
    <w:rsid w:val="002C04A1"/>
    <w:rsid w:val="002C0A17"/>
    <w:rsid w:val="002C0A4E"/>
    <w:rsid w:val="002C0A5A"/>
    <w:rsid w:val="002C0D64"/>
    <w:rsid w:val="002C2641"/>
    <w:rsid w:val="002C293A"/>
    <w:rsid w:val="002C2EBB"/>
    <w:rsid w:val="002C3904"/>
    <w:rsid w:val="002C3C5A"/>
    <w:rsid w:val="002C3D5E"/>
    <w:rsid w:val="002C3FE8"/>
    <w:rsid w:val="002C45A0"/>
    <w:rsid w:val="002C464C"/>
    <w:rsid w:val="002C4A08"/>
    <w:rsid w:val="002C4CEA"/>
    <w:rsid w:val="002C53D9"/>
    <w:rsid w:val="002C59E0"/>
    <w:rsid w:val="002C5E55"/>
    <w:rsid w:val="002C6AD1"/>
    <w:rsid w:val="002C7155"/>
    <w:rsid w:val="002C7E6E"/>
    <w:rsid w:val="002C7EF7"/>
    <w:rsid w:val="002D032D"/>
    <w:rsid w:val="002D064F"/>
    <w:rsid w:val="002D0689"/>
    <w:rsid w:val="002D08AD"/>
    <w:rsid w:val="002D0AEF"/>
    <w:rsid w:val="002D1355"/>
    <w:rsid w:val="002D170D"/>
    <w:rsid w:val="002D197B"/>
    <w:rsid w:val="002D24F7"/>
    <w:rsid w:val="002D257C"/>
    <w:rsid w:val="002D264A"/>
    <w:rsid w:val="002D3F57"/>
    <w:rsid w:val="002D4549"/>
    <w:rsid w:val="002D5089"/>
    <w:rsid w:val="002D56E0"/>
    <w:rsid w:val="002D6EFD"/>
    <w:rsid w:val="002D6FD8"/>
    <w:rsid w:val="002D7296"/>
    <w:rsid w:val="002D7C73"/>
    <w:rsid w:val="002E0136"/>
    <w:rsid w:val="002E0BF4"/>
    <w:rsid w:val="002E0F4B"/>
    <w:rsid w:val="002E1374"/>
    <w:rsid w:val="002E1407"/>
    <w:rsid w:val="002E15AC"/>
    <w:rsid w:val="002E177D"/>
    <w:rsid w:val="002E187A"/>
    <w:rsid w:val="002E1F1F"/>
    <w:rsid w:val="002E2225"/>
    <w:rsid w:val="002E23AB"/>
    <w:rsid w:val="002E2AE8"/>
    <w:rsid w:val="002E2DB3"/>
    <w:rsid w:val="002E3181"/>
    <w:rsid w:val="002E3959"/>
    <w:rsid w:val="002E3BFA"/>
    <w:rsid w:val="002E489D"/>
    <w:rsid w:val="002E4A94"/>
    <w:rsid w:val="002E4F28"/>
    <w:rsid w:val="002E51D2"/>
    <w:rsid w:val="002E5B88"/>
    <w:rsid w:val="002E5FF8"/>
    <w:rsid w:val="002E6024"/>
    <w:rsid w:val="002E6217"/>
    <w:rsid w:val="002E65C4"/>
    <w:rsid w:val="002E72C0"/>
    <w:rsid w:val="002E73ED"/>
    <w:rsid w:val="002E76ED"/>
    <w:rsid w:val="002E7E4B"/>
    <w:rsid w:val="002F0357"/>
    <w:rsid w:val="002F10DF"/>
    <w:rsid w:val="002F14C6"/>
    <w:rsid w:val="002F157B"/>
    <w:rsid w:val="002F17C2"/>
    <w:rsid w:val="002F23D1"/>
    <w:rsid w:val="002F2430"/>
    <w:rsid w:val="002F25F7"/>
    <w:rsid w:val="002F274F"/>
    <w:rsid w:val="002F2A51"/>
    <w:rsid w:val="002F2DFD"/>
    <w:rsid w:val="002F30EC"/>
    <w:rsid w:val="002F39CB"/>
    <w:rsid w:val="002F3E66"/>
    <w:rsid w:val="002F445D"/>
    <w:rsid w:val="002F4F5E"/>
    <w:rsid w:val="002F5230"/>
    <w:rsid w:val="002F5F29"/>
    <w:rsid w:val="002F6216"/>
    <w:rsid w:val="002F66E4"/>
    <w:rsid w:val="002F6704"/>
    <w:rsid w:val="002F67ED"/>
    <w:rsid w:val="002F7097"/>
    <w:rsid w:val="002F73F0"/>
    <w:rsid w:val="002F7B06"/>
    <w:rsid w:val="0030005E"/>
    <w:rsid w:val="003004BF"/>
    <w:rsid w:val="003005A5"/>
    <w:rsid w:val="00300A71"/>
    <w:rsid w:val="00301808"/>
    <w:rsid w:val="00301ACD"/>
    <w:rsid w:val="00302CAE"/>
    <w:rsid w:val="00303A2D"/>
    <w:rsid w:val="00303C34"/>
    <w:rsid w:val="00304094"/>
    <w:rsid w:val="00304177"/>
    <w:rsid w:val="003043A8"/>
    <w:rsid w:val="003049E3"/>
    <w:rsid w:val="0030608F"/>
    <w:rsid w:val="00306103"/>
    <w:rsid w:val="003061E7"/>
    <w:rsid w:val="003067A1"/>
    <w:rsid w:val="003069D0"/>
    <w:rsid w:val="00306B87"/>
    <w:rsid w:val="00306C7D"/>
    <w:rsid w:val="00307205"/>
    <w:rsid w:val="003073C7"/>
    <w:rsid w:val="0030759F"/>
    <w:rsid w:val="0031048A"/>
    <w:rsid w:val="0031050C"/>
    <w:rsid w:val="00310BA1"/>
    <w:rsid w:val="00311169"/>
    <w:rsid w:val="00311197"/>
    <w:rsid w:val="0031154A"/>
    <w:rsid w:val="00311A56"/>
    <w:rsid w:val="00311F89"/>
    <w:rsid w:val="00312221"/>
    <w:rsid w:val="00312B79"/>
    <w:rsid w:val="003130D6"/>
    <w:rsid w:val="003136E4"/>
    <w:rsid w:val="00313781"/>
    <w:rsid w:val="003141B7"/>
    <w:rsid w:val="003146C2"/>
    <w:rsid w:val="00315A2E"/>
    <w:rsid w:val="0031647B"/>
    <w:rsid w:val="0031663A"/>
    <w:rsid w:val="0031673F"/>
    <w:rsid w:val="00317209"/>
    <w:rsid w:val="00317261"/>
    <w:rsid w:val="0031764B"/>
    <w:rsid w:val="00317A6E"/>
    <w:rsid w:val="00320296"/>
    <w:rsid w:val="00320BD1"/>
    <w:rsid w:val="00321734"/>
    <w:rsid w:val="0032230B"/>
    <w:rsid w:val="003223BD"/>
    <w:rsid w:val="00322833"/>
    <w:rsid w:val="003231D3"/>
    <w:rsid w:val="00323772"/>
    <w:rsid w:val="00323BBA"/>
    <w:rsid w:val="00323CF4"/>
    <w:rsid w:val="00323DD8"/>
    <w:rsid w:val="00323EF6"/>
    <w:rsid w:val="00324098"/>
    <w:rsid w:val="00324515"/>
    <w:rsid w:val="00324A43"/>
    <w:rsid w:val="00326064"/>
    <w:rsid w:val="003264DF"/>
    <w:rsid w:val="003268CD"/>
    <w:rsid w:val="00326DF7"/>
    <w:rsid w:val="0032733C"/>
    <w:rsid w:val="00327B5A"/>
    <w:rsid w:val="003301AC"/>
    <w:rsid w:val="00330211"/>
    <w:rsid w:val="003305F0"/>
    <w:rsid w:val="00331154"/>
    <w:rsid w:val="0033151B"/>
    <w:rsid w:val="003319E5"/>
    <w:rsid w:val="00331A69"/>
    <w:rsid w:val="003320D4"/>
    <w:rsid w:val="003323BE"/>
    <w:rsid w:val="003325F9"/>
    <w:rsid w:val="00332917"/>
    <w:rsid w:val="00332DF9"/>
    <w:rsid w:val="00332E0D"/>
    <w:rsid w:val="00333028"/>
    <w:rsid w:val="00333401"/>
    <w:rsid w:val="0033361C"/>
    <w:rsid w:val="003337F2"/>
    <w:rsid w:val="00333AF6"/>
    <w:rsid w:val="00333EEA"/>
    <w:rsid w:val="00333F93"/>
    <w:rsid w:val="00334DC9"/>
    <w:rsid w:val="00335344"/>
    <w:rsid w:val="00335708"/>
    <w:rsid w:val="0033593D"/>
    <w:rsid w:val="003359AF"/>
    <w:rsid w:val="00335A0E"/>
    <w:rsid w:val="003360FC"/>
    <w:rsid w:val="00336C5B"/>
    <w:rsid w:val="00336ED2"/>
    <w:rsid w:val="00336F56"/>
    <w:rsid w:val="00337325"/>
    <w:rsid w:val="0033755B"/>
    <w:rsid w:val="00337BDF"/>
    <w:rsid w:val="00340853"/>
    <w:rsid w:val="00340BAF"/>
    <w:rsid w:val="00341A6C"/>
    <w:rsid w:val="00341F06"/>
    <w:rsid w:val="00341FBD"/>
    <w:rsid w:val="0034207B"/>
    <w:rsid w:val="0034215D"/>
    <w:rsid w:val="0034216E"/>
    <w:rsid w:val="003422AE"/>
    <w:rsid w:val="003422BB"/>
    <w:rsid w:val="00342437"/>
    <w:rsid w:val="0034248D"/>
    <w:rsid w:val="0034255A"/>
    <w:rsid w:val="003426A1"/>
    <w:rsid w:val="00342A60"/>
    <w:rsid w:val="00342F33"/>
    <w:rsid w:val="00342FCD"/>
    <w:rsid w:val="003440EE"/>
    <w:rsid w:val="003446C5"/>
    <w:rsid w:val="003447C2"/>
    <w:rsid w:val="00344974"/>
    <w:rsid w:val="00344976"/>
    <w:rsid w:val="00344A7A"/>
    <w:rsid w:val="003459FF"/>
    <w:rsid w:val="00345ED1"/>
    <w:rsid w:val="003461C7"/>
    <w:rsid w:val="0034682E"/>
    <w:rsid w:val="00346B73"/>
    <w:rsid w:val="00346BF6"/>
    <w:rsid w:val="00346D3E"/>
    <w:rsid w:val="00346DE2"/>
    <w:rsid w:val="00347C95"/>
    <w:rsid w:val="00350934"/>
    <w:rsid w:val="003509A8"/>
    <w:rsid w:val="0035116B"/>
    <w:rsid w:val="003518B3"/>
    <w:rsid w:val="00352648"/>
    <w:rsid w:val="00352986"/>
    <w:rsid w:val="00353428"/>
    <w:rsid w:val="00353C75"/>
    <w:rsid w:val="0035411F"/>
    <w:rsid w:val="0035417C"/>
    <w:rsid w:val="0035429A"/>
    <w:rsid w:val="003544D9"/>
    <w:rsid w:val="0035468E"/>
    <w:rsid w:val="003547FB"/>
    <w:rsid w:val="00355725"/>
    <w:rsid w:val="00355C45"/>
    <w:rsid w:val="00355CAD"/>
    <w:rsid w:val="0035627A"/>
    <w:rsid w:val="00356410"/>
    <w:rsid w:val="00356468"/>
    <w:rsid w:val="00356504"/>
    <w:rsid w:val="00357381"/>
    <w:rsid w:val="00357B20"/>
    <w:rsid w:val="00357B89"/>
    <w:rsid w:val="00357E47"/>
    <w:rsid w:val="0036004B"/>
    <w:rsid w:val="00360574"/>
    <w:rsid w:val="003608AD"/>
    <w:rsid w:val="003609BF"/>
    <w:rsid w:val="00361B74"/>
    <w:rsid w:val="00361C8F"/>
    <w:rsid w:val="00361CAF"/>
    <w:rsid w:val="00361F68"/>
    <w:rsid w:val="00362398"/>
    <w:rsid w:val="00362471"/>
    <w:rsid w:val="003625F5"/>
    <w:rsid w:val="0036291C"/>
    <w:rsid w:val="00362ED1"/>
    <w:rsid w:val="00362F0C"/>
    <w:rsid w:val="00363C9B"/>
    <w:rsid w:val="0036438A"/>
    <w:rsid w:val="003645BD"/>
    <w:rsid w:val="0036496E"/>
    <w:rsid w:val="00364A1F"/>
    <w:rsid w:val="00364E4D"/>
    <w:rsid w:val="003653E9"/>
    <w:rsid w:val="00365AEB"/>
    <w:rsid w:val="0036643D"/>
    <w:rsid w:val="003664A6"/>
    <w:rsid w:val="00366617"/>
    <w:rsid w:val="00366B3D"/>
    <w:rsid w:val="003673D5"/>
    <w:rsid w:val="0036756F"/>
    <w:rsid w:val="00367D76"/>
    <w:rsid w:val="0037028A"/>
    <w:rsid w:val="00370466"/>
    <w:rsid w:val="00370AFE"/>
    <w:rsid w:val="003711FD"/>
    <w:rsid w:val="0037130B"/>
    <w:rsid w:val="00371430"/>
    <w:rsid w:val="003720D8"/>
    <w:rsid w:val="00372323"/>
    <w:rsid w:val="00372430"/>
    <w:rsid w:val="00372566"/>
    <w:rsid w:val="00372B52"/>
    <w:rsid w:val="00372D30"/>
    <w:rsid w:val="003735D0"/>
    <w:rsid w:val="0037426E"/>
    <w:rsid w:val="003743B7"/>
    <w:rsid w:val="0037458C"/>
    <w:rsid w:val="00374AB5"/>
    <w:rsid w:val="003756B5"/>
    <w:rsid w:val="003757FE"/>
    <w:rsid w:val="00375B4A"/>
    <w:rsid w:val="0037647D"/>
    <w:rsid w:val="0037676D"/>
    <w:rsid w:val="00376FF9"/>
    <w:rsid w:val="00377285"/>
    <w:rsid w:val="00377345"/>
    <w:rsid w:val="00377B50"/>
    <w:rsid w:val="00381224"/>
    <w:rsid w:val="00381DF5"/>
    <w:rsid w:val="00382186"/>
    <w:rsid w:val="0038252B"/>
    <w:rsid w:val="00382E13"/>
    <w:rsid w:val="003837A7"/>
    <w:rsid w:val="00383971"/>
    <w:rsid w:val="00383F67"/>
    <w:rsid w:val="003841BE"/>
    <w:rsid w:val="0038428C"/>
    <w:rsid w:val="00384491"/>
    <w:rsid w:val="00384503"/>
    <w:rsid w:val="003849D2"/>
    <w:rsid w:val="00384ACD"/>
    <w:rsid w:val="00384F0F"/>
    <w:rsid w:val="003855E5"/>
    <w:rsid w:val="003857F4"/>
    <w:rsid w:val="00385986"/>
    <w:rsid w:val="00385C4C"/>
    <w:rsid w:val="00385E7F"/>
    <w:rsid w:val="00386365"/>
    <w:rsid w:val="003864A5"/>
    <w:rsid w:val="003865A9"/>
    <w:rsid w:val="0038740D"/>
    <w:rsid w:val="00387668"/>
    <w:rsid w:val="003877A5"/>
    <w:rsid w:val="00387A7F"/>
    <w:rsid w:val="00390420"/>
    <w:rsid w:val="003908C6"/>
    <w:rsid w:val="00390C03"/>
    <w:rsid w:val="00391055"/>
    <w:rsid w:val="003914F7"/>
    <w:rsid w:val="00391E81"/>
    <w:rsid w:val="00391EF5"/>
    <w:rsid w:val="003921C4"/>
    <w:rsid w:val="00392983"/>
    <w:rsid w:val="00393771"/>
    <w:rsid w:val="0039380A"/>
    <w:rsid w:val="003938EC"/>
    <w:rsid w:val="00393B7E"/>
    <w:rsid w:val="00393DCF"/>
    <w:rsid w:val="003940A2"/>
    <w:rsid w:val="0039496D"/>
    <w:rsid w:val="00394A7D"/>
    <w:rsid w:val="00394FE2"/>
    <w:rsid w:val="00395580"/>
    <w:rsid w:val="003958C6"/>
    <w:rsid w:val="00395A9E"/>
    <w:rsid w:val="00395FB1"/>
    <w:rsid w:val="00396479"/>
    <w:rsid w:val="00396757"/>
    <w:rsid w:val="003967E6"/>
    <w:rsid w:val="00396FE3"/>
    <w:rsid w:val="00397233"/>
    <w:rsid w:val="003A1099"/>
    <w:rsid w:val="003A138F"/>
    <w:rsid w:val="003A151D"/>
    <w:rsid w:val="003A15BA"/>
    <w:rsid w:val="003A1841"/>
    <w:rsid w:val="003A1C76"/>
    <w:rsid w:val="003A1EFD"/>
    <w:rsid w:val="003A2404"/>
    <w:rsid w:val="003A26BD"/>
    <w:rsid w:val="003A3933"/>
    <w:rsid w:val="003A3CB1"/>
    <w:rsid w:val="003A3EA5"/>
    <w:rsid w:val="003A4298"/>
    <w:rsid w:val="003A43A9"/>
    <w:rsid w:val="003A46BA"/>
    <w:rsid w:val="003A515F"/>
    <w:rsid w:val="003A52A7"/>
    <w:rsid w:val="003A5552"/>
    <w:rsid w:val="003A59B3"/>
    <w:rsid w:val="003A69F3"/>
    <w:rsid w:val="003A6D01"/>
    <w:rsid w:val="003A70E8"/>
    <w:rsid w:val="003A75BF"/>
    <w:rsid w:val="003A763C"/>
    <w:rsid w:val="003A7867"/>
    <w:rsid w:val="003A7A75"/>
    <w:rsid w:val="003B00FC"/>
    <w:rsid w:val="003B159D"/>
    <w:rsid w:val="003B23C0"/>
    <w:rsid w:val="003B2506"/>
    <w:rsid w:val="003B331F"/>
    <w:rsid w:val="003B333C"/>
    <w:rsid w:val="003B3AA0"/>
    <w:rsid w:val="003B42DE"/>
    <w:rsid w:val="003B444F"/>
    <w:rsid w:val="003B47D8"/>
    <w:rsid w:val="003B4E3C"/>
    <w:rsid w:val="003B599A"/>
    <w:rsid w:val="003B5A96"/>
    <w:rsid w:val="003B5E08"/>
    <w:rsid w:val="003B6E24"/>
    <w:rsid w:val="003B6FF4"/>
    <w:rsid w:val="003B7094"/>
    <w:rsid w:val="003B7690"/>
    <w:rsid w:val="003C0050"/>
    <w:rsid w:val="003C007E"/>
    <w:rsid w:val="003C04DE"/>
    <w:rsid w:val="003C0644"/>
    <w:rsid w:val="003C0992"/>
    <w:rsid w:val="003C0E38"/>
    <w:rsid w:val="003C0E3A"/>
    <w:rsid w:val="003C0E78"/>
    <w:rsid w:val="003C0EDF"/>
    <w:rsid w:val="003C0F9F"/>
    <w:rsid w:val="003C1163"/>
    <w:rsid w:val="003C1465"/>
    <w:rsid w:val="003C157D"/>
    <w:rsid w:val="003C1A67"/>
    <w:rsid w:val="003C2106"/>
    <w:rsid w:val="003C22FD"/>
    <w:rsid w:val="003C2647"/>
    <w:rsid w:val="003C274F"/>
    <w:rsid w:val="003C27B3"/>
    <w:rsid w:val="003C2919"/>
    <w:rsid w:val="003C2B23"/>
    <w:rsid w:val="003C311A"/>
    <w:rsid w:val="003C3884"/>
    <w:rsid w:val="003C3CCC"/>
    <w:rsid w:val="003C4049"/>
    <w:rsid w:val="003C4061"/>
    <w:rsid w:val="003C40AC"/>
    <w:rsid w:val="003C4954"/>
    <w:rsid w:val="003C514F"/>
    <w:rsid w:val="003C51F6"/>
    <w:rsid w:val="003C58DC"/>
    <w:rsid w:val="003C5F55"/>
    <w:rsid w:val="003C5FC3"/>
    <w:rsid w:val="003C63B8"/>
    <w:rsid w:val="003C69E1"/>
    <w:rsid w:val="003C6C32"/>
    <w:rsid w:val="003C765F"/>
    <w:rsid w:val="003C7698"/>
    <w:rsid w:val="003C79FF"/>
    <w:rsid w:val="003D0046"/>
    <w:rsid w:val="003D0132"/>
    <w:rsid w:val="003D0328"/>
    <w:rsid w:val="003D0986"/>
    <w:rsid w:val="003D1B0E"/>
    <w:rsid w:val="003D1BC2"/>
    <w:rsid w:val="003D202B"/>
    <w:rsid w:val="003D2A14"/>
    <w:rsid w:val="003D2D5A"/>
    <w:rsid w:val="003D3928"/>
    <w:rsid w:val="003D45CA"/>
    <w:rsid w:val="003D46C7"/>
    <w:rsid w:val="003D576B"/>
    <w:rsid w:val="003D592A"/>
    <w:rsid w:val="003D605B"/>
    <w:rsid w:val="003D6766"/>
    <w:rsid w:val="003D6935"/>
    <w:rsid w:val="003D6DBF"/>
    <w:rsid w:val="003D6F49"/>
    <w:rsid w:val="003D7042"/>
    <w:rsid w:val="003D7631"/>
    <w:rsid w:val="003D76F9"/>
    <w:rsid w:val="003D7EA0"/>
    <w:rsid w:val="003E1100"/>
    <w:rsid w:val="003E1B26"/>
    <w:rsid w:val="003E20BE"/>
    <w:rsid w:val="003E245F"/>
    <w:rsid w:val="003E267B"/>
    <w:rsid w:val="003E26B8"/>
    <w:rsid w:val="003E297C"/>
    <w:rsid w:val="003E29A1"/>
    <w:rsid w:val="003E2A09"/>
    <w:rsid w:val="003E3196"/>
    <w:rsid w:val="003E384C"/>
    <w:rsid w:val="003E3E95"/>
    <w:rsid w:val="003E3EDC"/>
    <w:rsid w:val="003E450D"/>
    <w:rsid w:val="003E45AD"/>
    <w:rsid w:val="003E4B14"/>
    <w:rsid w:val="003E5B52"/>
    <w:rsid w:val="003E5C10"/>
    <w:rsid w:val="003E5DD0"/>
    <w:rsid w:val="003E5E66"/>
    <w:rsid w:val="003E62D4"/>
    <w:rsid w:val="003E6453"/>
    <w:rsid w:val="003E655B"/>
    <w:rsid w:val="003E6D56"/>
    <w:rsid w:val="003E6DD4"/>
    <w:rsid w:val="003E6F33"/>
    <w:rsid w:val="003E787A"/>
    <w:rsid w:val="003E7BC5"/>
    <w:rsid w:val="003E7FB2"/>
    <w:rsid w:val="003F00CE"/>
    <w:rsid w:val="003F0787"/>
    <w:rsid w:val="003F0BB1"/>
    <w:rsid w:val="003F0CB2"/>
    <w:rsid w:val="003F1053"/>
    <w:rsid w:val="003F1542"/>
    <w:rsid w:val="003F1B37"/>
    <w:rsid w:val="003F1DF2"/>
    <w:rsid w:val="003F2680"/>
    <w:rsid w:val="003F26B8"/>
    <w:rsid w:val="003F372D"/>
    <w:rsid w:val="003F3F9C"/>
    <w:rsid w:val="003F4742"/>
    <w:rsid w:val="003F54BE"/>
    <w:rsid w:val="003F5608"/>
    <w:rsid w:val="003F5883"/>
    <w:rsid w:val="003F58A0"/>
    <w:rsid w:val="003F61A3"/>
    <w:rsid w:val="003F637F"/>
    <w:rsid w:val="003F6A92"/>
    <w:rsid w:val="003F6C12"/>
    <w:rsid w:val="003F6C37"/>
    <w:rsid w:val="003F6E98"/>
    <w:rsid w:val="003F720E"/>
    <w:rsid w:val="003F73F8"/>
    <w:rsid w:val="003F7DC2"/>
    <w:rsid w:val="00400537"/>
    <w:rsid w:val="0040072E"/>
    <w:rsid w:val="00400A38"/>
    <w:rsid w:val="00400AFB"/>
    <w:rsid w:val="004011EA"/>
    <w:rsid w:val="00401716"/>
    <w:rsid w:val="00401950"/>
    <w:rsid w:val="00401964"/>
    <w:rsid w:val="0040230F"/>
    <w:rsid w:val="0040289B"/>
    <w:rsid w:val="00402DA4"/>
    <w:rsid w:val="00403016"/>
    <w:rsid w:val="00403068"/>
    <w:rsid w:val="004037F3"/>
    <w:rsid w:val="00403DB3"/>
    <w:rsid w:val="004041CE"/>
    <w:rsid w:val="004046F3"/>
    <w:rsid w:val="00404891"/>
    <w:rsid w:val="00404ACE"/>
    <w:rsid w:val="00404C5F"/>
    <w:rsid w:val="00404F10"/>
    <w:rsid w:val="00405775"/>
    <w:rsid w:val="00405B2F"/>
    <w:rsid w:val="00406140"/>
    <w:rsid w:val="00406F2B"/>
    <w:rsid w:val="004074CA"/>
    <w:rsid w:val="004078E4"/>
    <w:rsid w:val="00407B8A"/>
    <w:rsid w:val="00407D48"/>
    <w:rsid w:val="00410461"/>
    <w:rsid w:val="00410DD5"/>
    <w:rsid w:val="00410E03"/>
    <w:rsid w:val="00411F46"/>
    <w:rsid w:val="00412224"/>
    <w:rsid w:val="0041280E"/>
    <w:rsid w:val="00413185"/>
    <w:rsid w:val="0041322E"/>
    <w:rsid w:val="004135BB"/>
    <w:rsid w:val="004139CA"/>
    <w:rsid w:val="004146D2"/>
    <w:rsid w:val="004147BE"/>
    <w:rsid w:val="00415039"/>
    <w:rsid w:val="004156BE"/>
    <w:rsid w:val="0041581B"/>
    <w:rsid w:val="00415E5F"/>
    <w:rsid w:val="00416B59"/>
    <w:rsid w:val="00416F44"/>
    <w:rsid w:val="0041700F"/>
    <w:rsid w:val="004170F4"/>
    <w:rsid w:val="004173DF"/>
    <w:rsid w:val="00420448"/>
    <w:rsid w:val="00420BD6"/>
    <w:rsid w:val="00421667"/>
    <w:rsid w:val="004216F0"/>
    <w:rsid w:val="00422CD9"/>
    <w:rsid w:val="0042386F"/>
    <w:rsid w:val="00424361"/>
    <w:rsid w:val="00424891"/>
    <w:rsid w:val="004249AE"/>
    <w:rsid w:val="004249E4"/>
    <w:rsid w:val="00424AEF"/>
    <w:rsid w:val="00425287"/>
    <w:rsid w:val="0042544A"/>
    <w:rsid w:val="00425664"/>
    <w:rsid w:val="0042566F"/>
    <w:rsid w:val="004259E7"/>
    <w:rsid w:val="00425BDF"/>
    <w:rsid w:val="00426153"/>
    <w:rsid w:val="00426F53"/>
    <w:rsid w:val="004277AF"/>
    <w:rsid w:val="0042781E"/>
    <w:rsid w:val="00427A37"/>
    <w:rsid w:val="00427ACD"/>
    <w:rsid w:val="00427CE0"/>
    <w:rsid w:val="00427F06"/>
    <w:rsid w:val="00430466"/>
    <w:rsid w:val="00430C46"/>
    <w:rsid w:val="00431084"/>
    <w:rsid w:val="004316F7"/>
    <w:rsid w:val="00431F36"/>
    <w:rsid w:val="00431FCC"/>
    <w:rsid w:val="0043231B"/>
    <w:rsid w:val="0043240F"/>
    <w:rsid w:val="004325C0"/>
    <w:rsid w:val="00432BEE"/>
    <w:rsid w:val="00432E4A"/>
    <w:rsid w:val="004332CE"/>
    <w:rsid w:val="00433449"/>
    <w:rsid w:val="00433886"/>
    <w:rsid w:val="0043400E"/>
    <w:rsid w:val="0043416E"/>
    <w:rsid w:val="00434539"/>
    <w:rsid w:val="00434DF3"/>
    <w:rsid w:val="004350F8"/>
    <w:rsid w:val="00435CCF"/>
    <w:rsid w:val="004365A3"/>
    <w:rsid w:val="00436971"/>
    <w:rsid w:val="00437413"/>
    <w:rsid w:val="00437856"/>
    <w:rsid w:val="00437C4C"/>
    <w:rsid w:val="00437EFA"/>
    <w:rsid w:val="00440C09"/>
    <w:rsid w:val="0044149E"/>
    <w:rsid w:val="00441635"/>
    <w:rsid w:val="00442AFA"/>
    <w:rsid w:val="00442B85"/>
    <w:rsid w:val="00443835"/>
    <w:rsid w:val="00443A57"/>
    <w:rsid w:val="0044418E"/>
    <w:rsid w:val="00444455"/>
    <w:rsid w:val="00444D03"/>
    <w:rsid w:val="00444D8F"/>
    <w:rsid w:val="004454E5"/>
    <w:rsid w:val="00445895"/>
    <w:rsid w:val="004459F0"/>
    <w:rsid w:val="00445D3C"/>
    <w:rsid w:val="00445E10"/>
    <w:rsid w:val="00445FE1"/>
    <w:rsid w:val="0044626A"/>
    <w:rsid w:val="00446B13"/>
    <w:rsid w:val="00446B89"/>
    <w:rsid w:val="0044705F"/>
    <w:rsid w:val="004470CA"/>
    <w:rsid w:val="00447255"/>
    <w:rsid w:val="0044758A"/>
    <w:rsid w:val="004478FC"/>
    <w:rsid w:val="004479F2"/>
    <w:rsid w:val="00447C86"/>
    <w:rsid w:val="00450BEA"/>
    <w:rsid w:val="00450C0B"/>
    <w:rsid w:val="0045112C"/>
    <w:rsid w:val="00451144"/>
    <w:rsid w:val="00451445"/>
    <w:rsid w:val="004517E8"/>
    <w:rsid w:val="0045191A"/>
    <w:rsid w:val="0045194E"/>
    <w:rsid w:val="00451DA0"/>
    <w:rsid w:val="00452380"/>
    <w:rsid w:val="00452F35"/>
    <w:rsid w:val="004536B8"/>
    <w:rsid w:val="004536E9"/>
    <w:rsid w:val="00453D37"/>
    <w:rsid w:val="00454468"/>
    <w:rsid w:val="0045451E"/>
    <w:rsid w:val="004547CD"/>
    <w:rsid w:val="00454A9D"/>
    <w:rsid w:val="00454E2E"/>
    <w:rsid w:val="004557EA"/>
    <w:rsid w:val="004559EF"/>
    <w:rsid w:val="00455C50"/>
    <w:rsid w:val="0045634D"/>
    <w:rsid w:val="00456376"/>
    <w:rsid w:val="00456427"/>
    <w:rsid w:val="0045665C"/>
    <w:rsid w:val="00456905"/>
    <w:rsid w:val="00456CB0"/>
    <w:rsid w:val="00457727"/>
    <w:rsid w:val="00457842"/>
    <w:rsid w:val="00457C4F"/>
    <w:rsid w:val="00457D9B"/>
    <w:rsid w:val="00457EEC"/>
    <w:rsid w:val="00460BFC"/>
    <w:rsid w:val="00460C1D"/>
    <w:rsid w:val="00460EF5"/>
    <w:rsid w:val="00461E15"/>
    <w:rsid w:val="00462149"/>
    <w:rsid w:val="004621E6"/>
    <w:rsid w:val="0046235E"/>
    <w:rsid w:val="004628D4"/>
    <w:rsid w:val="00462DAB"/>
    <w:rsid w:val="0046345A"/>
    <w:rsid w:val="0046390E"/>
    <w:rsid w:val="00463BC3"/>
    <w:rsid w:val="00463C21"/>
    <w:rsid w:val="00463C3A"/>
    <w:rsid w:val="00463DE6"/>
    <w:rsid w:val="00465630"/>
    <w:rsid w:val="00465E6C"/>
    <w:rsid w:val="00466482"/>
    <w:rsid w:val="004674B6"/>
    <w:rsid w:val="0046776A"/>
    <w:rsid w:val="004702D2"/>
    <w:rsid w:val="00470954"/>
    <w:rsid w:val="004720DD"/>
    <w:rsid w:val="004734ED"/>
    <w:rsid w:val="004736E8"/>
    <w:rsid w:val="00473A5F"/>
    <w:rsid w:val="00473B9B"/>
    <w:rsid w:val="00473F94"/>
    <w:rsid w:val="0047419D"/>
    <w:rsid w:val="00474376"/>
    <w:rsid w:val="004746BD"/>
    <w:rsid w:val="00474FC3"/>
    <w:rsid w:val="00475307"/>
    <w:rsid w:val="0047541C"/>
    <w:rsid w:val="004754B8"/>
    <w:rsid w:val="00475615"/>
    <w:rsid w:val="00475B39"/>
    <w:rsid w:val="00475B7E"/>
    <w:rsid w:val="0047610B"/>
    <w:rsid w:val="00476490"/>
    <w:rsid w:val="0047681C"/>
    <w:rsid w:val="00476CD7"/>
    <w:rsid w:val="00476D86"/>
    <w:rsid w:val="00477148"/>
    <w:rsid w:val="0047770A"/>
    <w:rsid w:val="00477AA2"/>
    <w:rsid w:val="00477FDF"/>
    <w:rsid w:val="0048023D"/>
    <w:rsid w:val="004809D0"/>
    <w:rsid w:val="0048176F"/>
    <w:rsid w:val="00481900"/>
    <w:rsid w:val="00481D58"/>
    <w:rsid w:val="00481D9B"/>
    <w:rsid w:val="004821F7"/>
    <w:rsid w:val="004826E7"/>
    <w:rsid w:val="00482877"/>
    <w:rsid w:val="0048290D"/>
    <w:rsid w:val="00483E89"/>
    <w:rsid w:val="00483FB2"/>
    <w:rsid w:val="004840D8"/>
    <w:rsid w:val="00484119"/>
    <w:rsid w:val="004842CF"/>
    <w:rsid w:val="00484A41"/>
    <w:rsid w:val="00485209"/>
    <w:rsid w:val="004854F1"/>
    <w:rsid w:val="00485B3A"/>
    <w:rsid w:val="00486873"/>
    <w:rsid w:val="00486E8D"/>
    <w:rsid w:val="004871A8"/>
    <w:rsid w:val="004873F6"/>
    <w:rsid w:val="00487BFD"/>
    <w:rsid w:val="0049068D"/>
    <w:rsid w:val="004907C0"/>
    <w:rsid w:val="00490CC8"/>
    <w:rsid w:val="00491B00"/>
    <w:rsid w:val="00491EE0"/>
    <w:rsid w:val="0049257E"/>
    <w:rsid w:val="004930B3"/>
    <w:rsid w:val="004930BF"/>
    <w:rsid w:val="004932AD"/>
    <w:rsid w:val="004942FA"/>
    <w:rsid w:val="0049624B"/>
    <w:rsid w:val="00496958"/>
    <w:rsid w:val="00497107"/>
    <w:rsid w:val="00497317"/>
    <w:rsid w:val="004979C0"/>
    <w:rsid w:val="004A04E3"/>
    <w:rsid w:val="004A0628"/>
    <w:rsid w:val="004A0666"/>
    <w:rsid w:val="004A08CB"/>
    <w:rsid w:val="004A10F1"/>
    <w:rsid w:val="004A1176"/>
    <w:rsid w:val="004A14E0"/>
    <w:rsid w:val="004A15A3"/>
    <w:rsid w:val="004A164B"/>
    <w:rsid w:val="004A18BA"/>
    <w:rsid w:val="004A2109"/>
    <w:rsid w:val="004A3047"/>
    <w:rsid w:val="004A36C3"/>
    <w:rsid w:val="004A3904"/>
    <w:rsid w:val="004A39B8"/>
    <w:rsid w:val="004A3A50"/>
    <w:rsid w:val="004A3E25"/>
    <w:rsid w:val="004A6792"/>
    <w:rsid w:val="004A6D72"/>
    <w:rsid w:val="004A6FBB"/>
    <w:rsid w:val="004A7367"/>
    <w:rsid w:val="004A76C8"/>
    <w:rsid w:val="004A7923"/>
    <w:rsid w:val="004A7BF0"/>
    <w:rsid w:val="004A7EEC"/>
    <w:rsid w:val="004A7FF4"/>
    <w:rsid w:val="004B0084"/>
    <w:rsid w:val="004B023B"/>
    <w:rsid w:val="004B0D00"/>
    <w:rsid w:val="004B0D6C"/>
    <w:rsid w:val="004B10BE"/>
    <w:rsid w:val="004B1219"/>
    <w:rsid w:val="004B1B22"/>
    <w:rsid w:val="004B2193"/>
    <w:rsid w:val="004B21CA"/>
    <w:rsid w:val="004B2CA4"/>
    <w:rsid w:val="004B2ED1"/>
    <w:rsid w:val="004B402F"/>
    <w:rsid w:val="004B45A6"/>
    <w:rsid w:val="004B4974"/>
    <w:rsid w:val="004B49E4"/>
    <w:rsid w:val="004B5302"/>
    <w:rsid w:val="004B539F"/>
    <w:rsid w:val="004B5630"/>
    <w:rsid w:val="004B56CE"/>
    <w:rsid w:val="004B56D4"/>
    <w:rsid w:val="004B5E91"/>
    <w:rsid w:val="004B64DC"/>
    <w:rsid w:val="004B65AA"/>
    <w:rsid w:val="004B6DDF"/>
    <w:rsid w:val="004B6E19"/>
    <w:rsid w:val="004B790A"/>
    <w:rsid w:val="004C007B"/>
    <w:rsid w:val="004C069A"/>
    <w:rsid w:val="004C17A7"/>
    <w:rsid w:val="004C1BAA"/>
    <w:rsid w:val="004C27B5"/>
    <w:rsid w:val="004C315B"/>
    <w:rsid w:val="004C31C4"/>
    <w:rsid w:val="004C3329"/>
    <w:rsid w:val="004C436D"/>
    <w:rsid w:val="004C44BA"/>
    <w:rsid w:val="004C54FE"/>
    <w:rsid w:val="004C58C6"/>
    <w:rsid w:val="004C5C35"/>
    <w:rsid w:val="004C6298"/>
    <w:rsid w:val="004C6B25"/>
    <w:rsid w:val="004C77E0"/>
    <w:rsid w:val="004C7960"/>
    <w:rsid w:val="004C7CB1"/>
    <w:rsid w:val="004C7D2E"/>
    <w:rsid w:val="004C7F84"/>
    <w:rsid w:val="004D08C0"/>
    <w:rsid w:val="004D0A27"/>
    <w:rsid w:val="004D0B6F"/>
    <w:rsid w:val="004D0BBA"/>
    <w:rsid w:val="004D0E97"/>
    <w:rsid w:val="004D14D2"/>
    <w:rsid w:val="004D201C"/>
    <w:rsid w:val="004D2C45"/>
    <w:rsid w:val="004D32CF"/>
    <w:rsid w:val="004D34EC"/>
    <w:rsid w:val="004D41C4"/>
    <w:rsid w:val="004D430A"/>
    <w:rsid w:val="004D441B"/>
    <w:rsid w:val="004D4547"/>
    <w:rsid w:val="004D4659"/>
    <w:rsid w:val="004D48B0"/>
    <w:rsid w:val="004D4B1D"/>
    <w:rsid w:val="004D4D41"/>
    <w:rsid w:val="004D536A"/>
    <w:rsid w:val="004D5CEC"/>
    <w:rsid w:val="004D5CFB"/>
    <w:rsid w:val="004D6B51"/>
    <w:rsid w:val="004D7362"/>
    <w:rsid w:val="004D75EC"/>
    <w:rsid w:val="004D7839"/>
    <w:rsid w:val="004D79C9"/>
    <w:rsid w:val="004D7BD0"/>
    <w:rsid w:val="004D7C46"/>
    <w:rsid w:val="004D7F42"/>
    <w:rsid w:val="004E002B"/>
    <w:rsid w:val="004E0B86"/>
    <w:rsid w:val="004E0FEC"/>
    <w:rsid w:val="004E11A9"/>
    <w:rsid w:val="004E28F6"/>
    <w:rsid w:val="004E32AB"/>
    <w:rsid w:val="004E32DD"/>
    <w:rsid w:val="004E506C"/>
    <w:rsid w:val="004E54FF"/>
    <w:rsid w:val="004E5812"/>
    <w:rsid w:val="004E5E94"/>
    <w:rsid w:val="004E654D"/>
    <w:rsid w:val="004E6A5F"/>
    <w:rsid w:val="004E6D13"/>
    <w:rsid w:val="004E7402"/>
    <w:rsid w:val="004E7EC7"/>
    <w:rsid w:val="004F00EF"/>
    <w:rsid w:val="004F0D22"/>
    <w:rsid w:val="004F0EF2"/>
    <w:rsid w:val="004F0F8B"/>
    <w:rsid w:val="004F109C"/>
    <w:rsid w:val="004F149F"/>
    <w:rsid w:val="004F1964"/>
    <w:rsid w:val="004F197C"/>
    <w:rsid w:val="004F27E1"/>
    <w:rsid w:val="004F2EF4"/>
    <w:rsid w:val="004F304E"/>
    <w:rsid w:val="004F3505"/>
    <w:rsid w:val="004F3EDF"/>
    <w:rsid w:val="004F44D5"/>
    <w:rsid w:val="004F461D"/>
    <w:rsid w:val="004F48E4"/>
    <w:rsid w:val="004F5CE1"/>
    <w:rsid w:val="004F72A9"/>
    <w:rsid w:val="004F7E14"/>
    <w:rsid w:val="005005DD"/>
    <w:rsid w:val="005006C0"/>
    <w:rsid w:val="00500E72"/>
    <w:rsid w:val="00501DA9"/>
    <w:rsid w:val="0050200B"/>
    <w:rsid w:val="00502135"/>
    <w:rsid w:val="00502AFB"/>
    <w:rsid w:val="00502F97"/>
    <w:rsid w:val="005035E9"/>
    <w:rsid w:val="00503D43"/>
    <w:rsid w:val="005040BA"/>
    <w:rsid w:val="005045B0"/>
    <w:rsid w:val="00504CD8"/>
    <w:rsid w:val="00504F9C"/>
    <w:rsid w:val="00505213"/>
    <w:rsid w:val="005059EB"/>
    <w:rsid w:val="0050633B"/>
    <w:rsid w:val="0050646E"/>
    <w:rsid w:val="005076EC"/>
    <w:rsid w:val="00507D6E"/>
    <w:rsid w:val="0051084B"/>
    <w:rsid w:val="005110E3"/>
    <w:rsid w:val="00511742"/>
    <w:rsid w:val="00511885"/>
    <w:rsid w:val="005118DC"/>
    <w:rsid w:val="00511C36"/>
    <w:rsid w:val="00511CEC"/>
    <w:rsid w:val="00511F15"/>
    <w:rsid w:val="0051209F"/>
    <w:rsid w:val="005128DA"/>
    <w:rsid w:val="00512B54"/>
    <w:rsid w:val="005134F9"/>
    <w:rsid w:val="00513824"/>
    <w:rsid w:val="00513DA9"/>
    <w:rsid w:val="00513F5E"/>
    <w:rsid w:val="0051440F"/>
    <w:rsid w:val="00514527"/>
    <w:rsid w:val="0051480D"/>
    <w:rsid w:val="00514AEE"/>
    <w:rsid w:val="00514CCC"/>
    <w:rsid w:val="00514FAF"/>
    <w:rsid w:val="00515E05"/>
    <w:rsid w:val="00515EA5"/>
    <w:rsid w:val="0051603F"/>
    <w:rsid w:val="00516498"/>
    <w:rsid w:val="0051692D"/>
    <w:rsid w:val="00516B31"/>
    <w:rsid w:val="00517366"/>
    <w:rsid w:val="005176CA"/>
    <w:rsid w:val="00517DE3"/>
    <w:rsid w:val="00520015"/>
    <w:rsid w:val="00520539"/>
    <w:rsid w:val="00520555"/>
    <w:rsid w:val="00520B48"/>
    <w:rsid w:val="00520B91"/>
    <w:rsid w:val="00520F1D"/>
    <w:rsid w:val="0052162D"/>
    <w:rsid w:val="00521671"/>
    <w:rsid w:val="0052187C"/>
    <w:rsid w:val="00521B08"/>
    <w:rsid w:val="00521F18"/>
    <w:rsid w:val="00522571"/>
    <w:rsid w:val="00522F03"/>
    <w:rsid w:val="00522F2C"/>
    <w:rsid w:val="00523095"/>
    <w:rsid w:val="005232F1"/>
    <w:rsid w:val="00523560"/>
    <w:rsid w:val="00523561"/>
    <w:rsid w:val="0052370C"/>
    <w:rsid w:val="00523837"/>
    <w:rsid w:val="0052396A"/>
    <w:rsid w:val="0052486D"/>
    <w:rsid w:val="00525F06"/>
    <w:rsid w:val="005261D4"/>
    <w:rsid w:val="005263C0"/>
    <w:rsid w:val="00526A7F"/>
    <w:rsid w:val="005274D4"/>
    <w:rsid w:val="00527A77"/>
    <w:rsid w:val="00527D6D"/>
    <w:rsid w:val="00530516"/>
    <w:rsid w:val="005306CB"/>
    <w:rsid w:val="005307FC"/>
    <w:rsid w:val="00530824"/>
    <w:rsid w:val="00530C58"/>
    <w:rsid w:val="00530FF8"/>
    <w:rsid w:val="00531B19"/>
    <w:rsid w:val="00531C6A"/>
    <w:rsid w:val="00532454"/>
    <w:rsid w:val="0053286C"/>
    <w:rsid w:val="005329AB"/>
    <w:rsid w:val="00532AFB"/>
    <w:rsid w:val="00532B6A"/>
    <w:rsid w:val="00532F67"/>
    <w:rsid w:val="00533D6D"/>
    <w:rsid w:val="005342D3"/>
    <w:rsid w:val="00534F41"/>
    <w:rsid w:val="0053510D"/>
    <w:rsid w:val="00535258"/>
    <w:rsid w:val="0053588F"/>
    <w:rsid w:val="00535CA6"/>
    <w:rsid w:val="00535E4E"/>
    <w:rsid w:val="0053627B"/>
    <w:rsid w:val="00536632"/>
    <w:rsid w:val="00536670"/>
    <w:rsid w:val="005369CB"/>
    <w:rsid w:val="005369CF"/>
    <w:rsid w:val="00536B07"/>
    <w:rsid w:val="00536EB0"/>
    <w:rsid w:val="00537C47"/>
    <w:rsid w:val="00537D20"/>
    <w:rsid w:val="00537F8A"/>
    <w:rsid w:val="005402C7"/>
    <w:rsid w:val="0054034D"/>
    <w:rsid w:val="00540513"/>
    <w:rsid w:val="005409AB"/>
    <w:rsid w:val="00540A94"/>
    <w:rsid w:val="00541115"/>
    <w:rsid w:val="00541222"/>
    <w:rsid w:val="005414D2"/>
    <w:rsid w:val="00541690"/>
    <w:rsid w:val="00542A42"/>
    <w:rsid w:val="00542D69"/>
    <w:rsid w:val="005432D0"/>
    <w:rsid w:val="005435F2"/>
    <w:rsid w:val="00544259"/>
    <w:rsid w:val="005443DE"/>
    <w:rsid w:val="00544A00"/>
    <w:rsid w:val="00544CE6"/>
    <w:rsid w:val="00544FA5"/>
    <w:rsid w:val="0054577F"/>
    <w:rsid w:val="00546441"/>
    <w:rsid w:val="00546626"/>
    <w:rsid w:val="0054681D"/>
    <w:rsid w:val="00546B02"/>
    <w:rsid w:val="005476A4"/>
    <w:rsid w:val="005479AB"/>
    <w:rsid w:val="00547C8F"/>
    <w:rsid w:val="00547D84"/>
    <w:rsid w:val="005503D4"/>
    <w:rsid w:val="00550580"/>
    <w:rsid w:val="00550BCB"/>
    <w:rsid w:val="0055102C"/>
    <w:rsid w:val="005513CB"/>
    <w:rsid w:val="00551C72"/>
    <w:rsid w:val="005521AF"/>
    <w:rsid w:val="005523EB"/>
    <w:rsid w:val="005523F6"/>
    <w:rsid w:val="00552737"/>
    <w:rsid w:val="005529CB"/>
    <w:rsid w:val="00552E0C"/>
    <w:rsid w:val="0055377F"/>
    <w:rsid w:val="00553C61"/>
    <w:rsid w:val="00553D22"/>
    <w:rsid w:val="00553EED"/>
    <w:rsid w:val="00553F23"/>
    <w:rsid w:val="005541D7"/>
    <w:rsid w:val="005542B2"/>
    <w:rsid w:val="005546F1"/>
    <w:rsid w:val="005550C7"/>
    <w:rsid w:val="00555C88"/>
    <w:rsid w:val="00555D95"/>
    <w:rsid w:val="00555DD1"/>
    <w:rsid w:val="00557112"/>
    <w:rsid w:val="0055715B"/>
    <w:rsid w:val="00557777"/>
    <w:rsid w:val="00557C87"/>
    <w:rsid w:val="00560836"/>
    <w:rsid w:val="00560CB0"/>
    <w:rsid w:val="00560FDC"/>
    <w:rsid w:val="00561C3B"/>
    <w:rsid w:val="00561EA4"/>
    <w:rsid w:val="005627EF"/>
    <w:rsid w:val="0056286C"/>
    <w:rsid w:val="00564065"/>
    <w:rsid w:val="00564199"/>
    <w:rsid w:val="005646CB"/>
    <w:rsid w:val="00564968"/>
    <w:rsid w:val="00564B35"/>
    <w:rsid w:val="0056501A"/>
    <w:rsid w:val="005650C0"/>
    <w:rsid w:val="00565426"/>
    <w:rsid w:val="0056607C"/>
    <w:rsid w:val="00566108"/>
    <w:rsid w:val="00566434"/>
    <w:rsid w:val="00566A0F"/>
    <w:rsid w:val="00566FFC"/>
    <w:rsid w:val="0056786F"/>
    <w:rsid w:val="005705D8"/>
    <w:rsid w:val="00570A22"/>
    <w:rsid w:val="00570BD8"/>
    <w:rsid w:val="00570D05"/>
    <w:rsid w:val="005711A7"/>
    <w:rsid w:val="0057195A"/>
    <w:rsid w:val="00572226"/>
    <w:rsid w:val="005724E7"/>
    <w:rsid w:val="00573691"/>
    <w:rsid w:val="00573A41"/>
    <w:rsid w:val="00573D38"/>
    <w:rsid w:val="00574164"/>
    <w:rsid w:val="0057431D"/>
    <w:rsid w:val="00574351"/>
    <w:rsid w:val="00574615"/>
    <w:rsid w:val="005749D5"/>
    <w:rsid w:val="00574E50"/>
    <w:rsid w:val="00574EB3"/>
    <w:rsid w:val="00575237"/>
    <w:rsid w:val="00576233"/>
    <w:rsid w:val="0057692F"/>
    <w:rsid w:val="00576F6F"/>
    <w:rsid w:val="005773A3"/>
    <w:rsid w:val="00577B40"/>
    <w:rsid w:val="00580240"/>
    <w:rsid w:val="00580346"/>
    <w:rsid w:val="005804CE"/>
    <w:rsid w:val="00580B55"/>
    <w:rsid w:val="00580E00"/>
    <w:rsid w:val="00580E1B"/>
    <w:rsid w:val="00580E95"/>
    <w:rsid w:val="00581C51"/>
    <w:rsid w:val="00581ECA"/>
    <w:rsid w:val="005820FE"/>
    <w:rsid w:val="00582CB0"/>
    <w:rsid w:val="00582E1A"/>
    <w:rsid w:val="00582F4A"/>
    <w:rsid w:val="0058308A"/>
    <w:rsid w:val="00583415"/>
    <w:rsid w:val="00584600"/>
    <w:rsid w:val="00584B93"/>
    <w:rsid w:val="005851DF"/>
    <w:rsid w:val="00585778"/>
    <w:rsid w:val="00585794"/>
    <w:rsid w:val="00586478"/>
    <w:rsid w:val="005869BC"/>
    <w:rsid w:val="00586BC0"/>
    <w:rsid w:val="0058715D"/>
    <w:rsid w:val="00590352"/>
    <w:rsid w:val="0059066F"/>
    <w:rsid w:val="005906DD"/>
    <w:rsid w:val="0059099B"/>
    <w:rsid w:val="00590EBC"/>
    <w:rsid w:val="0059141C"/>
    <w:rsid w:val="00591868"/>
    <w:rsid w:val="00591FBE"/>
    <w:rsid w:val="005924A8"/>
    <w:rsid w:val="00592537"/>
    <w:rsid w:val="00592667"/>
    <w:rsid w:val="005926DB"/>
    <w:rsid w:val="00592D7B"/>
    <w:rsid w:val="005935AB"/>
    <w:rsid w:val="00593C71"/>
    <w:rsid w:val="00593D16"/>
    <w:rsid w:val="00593FCF"/>
    <w:rsid w:val="0059438D"/>
    <w:rsid w:val="00594491"/>
    <w:rsid w:val="00594DDA"/>
    <w:rsid w:val="00594EF1"/>
    <w:rsid w:val="00594F30"/>
    <w:rsid w:val="00595C2F"/>
    <w:rsid w:val="00595FD2"/>
    <w:rsid w:val="00596586"/>
    <w:rsid w:val="005966E8"/>
    <w:rsid w:val="00596CD2"/>
    <w:rsid w:val="00596FA6"/>
    <w:rsid w:val="0059716C"/>
    <w:rsid w:val="005971C0"/>
    <w:rsid w:val="00597500"/>
    <w:rsid w:val="005979FF"/>
    <w:rsid w:val="00597E19"/>
    <w:rsid w:val="005A0039"/>
    <w:rsid w:val="005A0041"/>
    <w:rsid w:val="005A01BE"/>
    <w:rsid w:val="005A048F"/>
    <w:rsid w:val="005A0757"/>
    <w:rsid w:val="005A0DA3"/>
    <w:rsid w:val="005A10F5"/>
    <w:rsid w:val="005A1FB2"/>
    <w:rsid w:val="005A245E"/>
    <w:rsid w:val="005A2AB2"/>
    <w:rsid w:val="005A2ADF"/>
    <w:rsid w:val="005A333D"/>
    <w:rsid w:val="005A3341"/>
    <w:rsid w:val="005A34C7"/>
    <w:rsid w:val="005A34FE"/>
    <w:rsid w:val="005A3AB6"/>
    <w:rsid w:val="005A3EE9"/>
    <w:rsid w:val="005A4208"/>
    <w:rsid w:val="005A490A"/>
    <w:rsid w:val="005A4BBF"/>
    <w:rsid w:val="005A4EE2"/>
    <w:rsid w:val="005A4FBE"/>
    <w:rsid w:val="005A531B"/>
    <w:rsid w:val="005A557D"/>
    <w:rsid w:val="005A5DF6"/>
    <w:rsid w:val="005A60EB"/>
    <w:rsid w:val="005A67D4"/>
    <w:rsid w:val="005A6901"/>
    <w:rsid w:val="005A698C"/>
    <w:rsid w:val="005A7150"/>
    <w:rsid w:val="005A77C9"/>
    <w:rsid w:val="005A7A6E"/>
    <w:rsid w:val="005A7A91"/>
    <w:rsid w:val="005B1905"/>
    <w:rsid w:val="005B1961"/>
    <w:rsid w:val="005B1D37"/>
    <w:rsid w:val="005B25B4"/>
    <w:rsid w:val="005B2C11"/>
    <w:rsid w:val="005B2F59"/>
    <w:rsid w:val="005B31FE"/>
    <w:rsid w:val="005B3403"/>
    <w:rsid w:val="005B3801"/>
    <w:rsid w:val="005B3CCA"/>
    <w:rsid w:val="005B3DF8"/>
    <w:rsid w:val="005B42AE"/>
    <w:rsid w:val="005B42CA"/>
    <w:rsid w:val="005B439E"/>
    <w:rsid w:val="005B53C3"/>
    <w:rsid w:val="005B57C8"/>
    <w:rsid w:val="005B5E17"/>
    <w:rsid w:val="005B5E46"/>
    <w:rsid w:val="005B5FE8"/>
    <w:rsid w:val="005B68F1"/>
    <w:rsid w:val="005B7A60"/>
    <w:rsid w:val="005B7BB8"/>
    <w:rsid w:val="005C03F1"/>
    <w:rsid w:val="005C083E"/>
    <w:rsid w:val="005C0BD5"/>
    <w:rsid w:val="005C1CF6"/>
    <w:rsid w:val="005C1D19"/>
    <w:rsid w:val="005C1D2B"/>
    <w:rsid w:val="005C2181"/>
    <w:rsid w:val="005C28BA"/>
    <w:rsid w:val="005C2A6E"/>
    <w:rsid w:val="005C2B4A"/>
    <w:rsid w:val="005C3E52"/>
    <w:rsid w:val="005C4153"/>
    <w:rsid w:val="005C4837"/>
    <w:rsid w:val="005C4D2B"/>
    <w:rsid w:val="005C50D3"/>
    <w:rsid w:val="005C5895"/>
    <w:rsid w:val="005C60F5"/>
    <w:rsid w:val="005C61DC"/>
    <w:rsid w:val="005C661B"/>
    <w:rsid w:val="005C6758"/>
    <w:rsid w:val="005C67B5"/>
    <w:rsid w:val="005C681F"/>
    <w:rsid w:val="005C7661"/>
    <w:rsid w:val="005C79B4"/>
    <w:rsid w:val="005C7F51"/>
    <w:rsid w:val="005D0166"/>
    <w:rsid w:val="005D0514"/>
    <w:rsid w:val="005D074E"/>
    <w:rsid w:val="005D08D7"/>
    <w:rsid w:val="005D0D42"/>
    <w:rsid w:val="005D1240"/>
    <w:rsid w:val="005D18E5"/>
    <w:rsid w:val="005D277F"/>
    <w:rsid w:val="005D3018"/>
    <w:rsid w:val="005D3865"/>
    <w:rsid w:val="005D3B2D"/>
    <w:rsid w:val="005D3C34"/>
    <w:rsid w:val="005D3E45"/>
    <w:rsid w:val="005D3ECD"/>
    <w:rsid w:val="005D4336"/>
    <w:rsid w:val="005D4B6B"/>
    <w:rsid w:val="005D4B71"/>
    <w:rsid w:val="005D4EF4"/>
    <w:rsid w:val="005D51A7"/>
    <w:rsid w:val="005D55E0"/>
    <w:rsid w:val="005D6AFB"/>
    <w:rsid w:val="005D6F22"/>
    <w:rsid w:val="005D76A6"/>
    <w:rsid w:val="005D7C64"/>
    <w:rsid w:val="005E05E1"/>
    <w:rsid w:val="005E0953"/>
    <w:rsid w:val="005E09E7"/>
    <w:rsid w:val="005E0B72"/>
    <w:rsid w:val="005E1B64"/>
    <w:rsid w:val="005E1D4C"/>
    <w:rsid w:val="005E230A"/>
    <w:rsid w:val="005E32A2"/>
    <w:rsid w:val="005E33DB"/>
    <w:rsid w:val="005E3C41"/>
    <w:rsid w:val="005E4DF0"/>
    <w:rsid w:val="005E4EEF"/>
    <w:rsid w:val="005E5432"/>
    <w:rsid w:val="005E5D80"/>
    <w:rsid w:val="005E66E7"/>
    <w:rsid w:val="005E6AFB"/>
    <w:rsid w:val="005E6B0C"/>
    <w:rsid w:val="005E6C94"/>
    <w:rsid w:val="005E6D26"/>
    <w:rsid w:val="005E6E01"/>
    <w:rsid w:val="005E709B"/>
    <w:rsid w:val="005F00E8"/>
    <w:rsid w:val="005F044C"/>
    <w:rsid w:val="005F0B4A"/>
    <w:rsid w:val="005F0E7C"/>
    <w:rsid w:val="005F1A6F"/>
    <w:rsid w:val="005F1FA5"/>
    <w:rsid w:val="005F247C"/>
    <w:rsid w:val="005F2677"/>
    <w:rsid w:val="005F28CB"/>
    <w:rsid w:val="005F2C31"/>
    <w:rsid w:val="005F2EA7"/>
    <w:rsid w:val="005F3101"/>
    <w:rsid w:val="005F386B"/>
    <w:rsid w:val="005F3C9E"/>
    <w:rsid w:val="005F4B8F"/>
    <w:rsid w:val="005F4D75"/>
    <w:rsid w:val="005F5AE5"/>
    <w:rsid w:val="005F70C1"/>
    <w:rsid w:val="005F71FF"/>
    <w:rsid w:val="005F73D5"/>
    <w:rsid w:val="005F7B18"/>
    <w:rsid w:val="00600075"/>
    <w:rsid w:val="006003DC"/>
    <w:rsid w:val="006005B8"/>
    <w:rsid w:val="00600910"/>
    <w:rsid w:val="00600D53"/>
    <w:rsid w:val="00601160"/>
    <w:rsid w:val="006013FB"/>
    <w:rsid w:val="00601C4C"/>
    <w:rsid w:val="006021D4"/>
    <w:rsid w:val="00602795"/>
    <w:rsid w:val="00602D23"/>
    <w:rsid w:val="00603BD6"/>
    <w:rsid w:val="00604194"/>
    <w:rsid w:val="006041A1"/>
    <w:rsid w:val="00604529"/>
    <w:rsid w:val="0060468D"/>
    <w:rsid w:val="00604CD2"/>
    <w:rsid w:val="006053EA"/>
    <w:rsid w:val="00605578"/>
    <w:rsid w:val="00605C64"/>
    <w:rsid w:val="00605EC6"/>
    <w:rsid w:val="00606673"/>
    <w:rsid w:val="00607506"/>
    <w:rsid w:val="006075CE"/>
    <w:rsid w:val="006076ED"/>
    <w:rsid w:val="00607938"/>
    <w:rsid w:val="00607F08"/>
    <w:rsid w:val="006104E7"/>
    <w:rsid w:val="0061060D"/>
    <w:rsid w:val="00610BEB"/>
    <w:rsid w:val="00610E5A"/>
    <w:rsid w:val="00612305"/>
    <w:rsid w:val="00612645"/>
    <w:rsid w:val="0061272F"/>
    <w:rsid w:val="00612A36"/>
    <w:rsid w:val="00612E2D"/>
    <w:rsid w:val="00613037"/>
    <w:rsid w:val="00613045"/>
    <w:rsid w:val="00613229"/>
    <w:rsid w:val="006132A7"/>
    <w:rsid w:val="006138BF"/>
    <w:rsid w:val="00613B8F"/>
    <w:rsid w:val="00614452"/>
    <w:rsid w:val="006145EA"/>
    <w:rsid w:val="00614670"/>
    <w:rsid w:val="00614695"/>
    <w:rsid w:val="006151C0"/>
    <w:rsid w:val="0061589D"/>
    <w:rsid w:val="00615B13"/>
    <w:rsid w:val="00615CDA"/>
    <w:rsid w:val="006162C3"/>
    <w:rsid w:val="0061683C"/>
    <w:rsid w:val="006168F4"/>
    <w:rsid w:val="006169C3"/>
    <w:rsid w:val="00616B86"/>
    <w:rsid w:val="00616E1F"/>
    <w:rsid w:val="00617C89"/>
    <w:rsid w:val="00617CDB"/>
    <w:rsid w:val="006209D6"/>
    <w:rsid w:val="00620BD4"/>
    <w:rsid w:val="00620D61"/>
    <w:rsid w:val="00620D9F"/>
    <w:rsid w:val="00620F36"/>
    <w:rsid w:val="00620F87"/>
    <w:rsid w:val="00621801"/>
    <w:rsid w:val="006225C6"/>
    <w:rsid w:val="006233E8"/>
    <w:rsid w:val="00623673"/>
    <w:rsid w:val="00623C8B"/>
    <w:rsid w:val="006246A0"/>
    <w:rsid w:val="006247BE"/>
    <w:rsid w:val="00624EEF"/>
    <w:rsid w:val="00625379"/>
    <w:rsid w:val="00625491"/>
    <w:rsid w:val="0062554A"/>
    <w:rsid w:val="00625653"/>
    <w:rsid w:val="00625991"/>
    <w:rsid w:val="00625B6D"/>
    <w:rsid w:val="00625DC8"/>
    <w:rsid w:val="00625E67"/>
    <w:rsid w:val="00626038"/>
    <w:rsid w:val="006261EB"/>
    <w:rsid w:val="0062632C"/>
    <w:rsid w:val="006269AE"/>
    <w:rsid w:val="00626FF8"/>
    <w:rsid w:val="0062738E"/>
    <w:rsid w:val="006275CB"/>
    <w:rsid w:val="0063008E"/>
    <w:rsid w:val="006304B1"/>
    <w:rsid w:val="00630577"/>
    <w:rsid w:val="00630C2F"/>
    <w:rsid w:val="00630DC4"/>
    <w:rsid w:val="006310B5"/>
    <w:rsid w:val="00631511"/>
    <w:rsid w:val="006324DD"/>
    <w:rsid w:val="00632709"/>
    <w:rsid w:val="00632FA1"/>
    <w:rsid w:val="00633295"/>
    <w:rsid w:val="006333B3"/>
    <w:rsid w:val="00633412"/>
    <w:rsid w:val="00633795"/>
    <w:rsid w:val="00633881"/>
    <w:rsid w:val="00633983"/>
    <w:rsid w:val="00633CA5"/>
    <w:rsid w:val="00633EC8"/>
    <w:rsid w:val="006342F2"/>
    <w:rsid w:val="00634B59"/>
    <w:rsid w:val="00634BFF"/>
    <w:rsid w:val="00634D38"/>
    <w:rsid w:val="00634DAD"/>
    <w:rsid w:val="00634E2B"/>
    <w:rsid w:val="00634E3F"/>
    <w:rsid w:val="00636076"/>
    <w:rsid w:val="006360F1"/>
    <w:rsid w:val="006363CA"/>
    <w:rsid w:val="00636ABC"/>
    <w:rsid w:val="00636E14"/>
    <w:rsid w:val="00637265"/>
    <w:rsid w:val="00637705"/>
    <w:rsid w:val="00637A8F"/>
    <w:rsid w:val="00637B41"/>
    <w:rsid w:val="00637C18"/>
    <w:rsid w:val="006400C6"/>
    <w:rsid w:val="006400E6"/>
    <w:rsid w:val="00640624"/>
    <w:rsid w:val="00640E39"/>
    <w:rsid w:val="00640E8C"/>
    <w:rsid w:val="0064101E"/>
    <w:rsid w:val="0064112B"/>
    <w:rsid w:val="00641BD2"/>
    <w:rsid w:val="0064220D"/>
    <w:rsid w:val="00642F1F"/>
    <w:rsid w:val="00642F4E"/>
    <w:rsid w:val="00642FE4"/>
    <w:rsid w:val="00643155"/>
    <w:rsid w:val="006432F6"/>
    <w:rsid w:val="00643F92"/>
    <w:rsid w:val="006440EF"/>
    <w:rsid w:val="00644498"/>
    <w:rsid w:val="0064469F"/>
    <w:rsid w:val="006448A1"/>
    <w:rsid w:val="00644B0F"/>
    <w:rsid w:val="00644D89"/>
    <w:rsid w:val="006450B6"/>
    <w:rsid w:val="0064514B"/>
    <w:rsid w:val="0064562D"/>
    <w:rsid w:val="00645719"/>
    <w:rsid w:val="0064581B"/>
    <w:rsid w:val="00646AAF"/>
    <w:rsid w:val="00646BD8"/>
    <w:rsid w:val="006470A3"/>
    <w:rsid w:val="00647687"/>
    <w:rsid w:val="006478EA"/>
    <w:rsid w:val="0065074E"/>
    <w:rsid w:val="00650768"/>
    <w:rsid w:val="0065091C"/>
    <w:rsid w:val="00650EB2"/>
    <w:rsid w:val="006511DE"/>
    <w:rsid w:val="00651BB0"/>
    <w:rsid w:val="006521E2"/>
    <w:rsid w:val="00652B53"/>
    <w:rsid w:val="00652EF2"/>
    <w:rsid w:val="00653D17"/>
    <w:rsid w:val="0065426A"/>
    <w:rsid w:val="006545D2"/>
    <w:rsid w:val="00654E44"/>
    <w:rsid w:val="00655A78"/>
    <w:rsid w:val="00655C75"/>
    <w:rsid w:val="006561D8"/>
    <w:rsid w:val="006565D5"/>
    <w:rsid w:val="0065718F"/>
    <w:rsid w:val="006572BD"/>
    <w:rsid w:val="00657533"/>
    <w:rsid w:val="006576AF"/>
    <w:rsid w:val="00657C77"/>
    <w:rsid w:val="00660023"/>
    <w:rsid w:val="00660575"/>
    <w:rsid w:val="006605D3"/>
    <w:rsid w:val="006607A4"/>
    <w:rsid w:val="00660813"/>
    <w:rsid w:val="00660E24"/>
    <w:rsid w:val="00660FF3"/>
    <w:rsid w:val="00661BC5"/>
    <w:rsid w:val="00662019"/>
    <w:rsid w:val="006620B3"/>
    <w:rsid w:val="0066279F"/>
    <w:rsid w:val="00662C4F"/>
    <w:rsid w:val="00663125"/>
    <w:rsid w:val="0066418E"/>
    <w:rsid w:val="006643EE"/>
    <w:rsid w:val="00665701"/>
    <w:rsid w:val="00665706"/>
    <w:rsid w:val="00665A85"/>
    <w:rsid w:val="00665A96"/>
    <w:rsid w:val="00665AC3"/>
    <w:rsid w:val="00665BF5"/>
    <w:rsid w:val="00666220"/>
    <w:rsid w:val="006662E4"/>
    <w:rsid w:val="0066647E"/>
    <w:rsid w:val="00670160"/>
    <w:rsid w:val="0067034A"/>
    <w:rsid w:val="006705D2"/>
    <w:rsid w:val="00670A85"/>
    <w:rsid w:val="00670F0A"/>
    <w:rsid w:val="00671B11"/>
    <w:rsid w:val="00671F51"/>
    <w:rsid w:val="00672949"/>
    <w:rsid w:val="00672A56"/>
    <w:rsid w:val="0067367E"/>
    <w:rsid w:val="00673857"/>
    <w:rsid w:val="006738D1"/>
    <w:rsid w:val="00673CC2"/>
    <w:rsid w:val="00673E8D"/>
    <w:rsid w:val="00674229"/>
    <w:rsid w:val="0067438E"/>
    <w:rsid w:val="00674FE5"/>
    <w:rsid w:val="00675356"/>
    <w:rsid w:val="00675554"/>
    <w:rsid w:val="00675830"/>
    <w:rsid w:val="00675AF6"/>
    <w:rsid w:val="006761D9"/>
    <w:rsid w:val="00676228"/>
    <w:rsid w:val="00676A27"/>
    <w:rsid w:val="00676BCC"/>
    <w:rsid w:val="00676D38"/>
    <w:rsid w:val="00677049"/>
    <w:rsid w:val="0068095B"/>
    <w:rsid w:val="00680C5C"/>
    <w:rsid w:val="00681318"/>
    <w:rsid w:val="0068179F"/>
    <w:rsid w:val="00681910"/>
    <w:rsid w:val="00681AC4"/>
    <w:rsid w:val="00681E86"/>
    <w:rsid w:val="006822DA"/>
    <w:rsid w:val="00682DB3"/>
    <w:rsid w:val="006838E9"/>
    <w:rsid w:val="00683A4A"/>
    <w:rsid w:val="00683B7D"/>
    <w:rsid w:val="00683D13"/>
    <w:rsid w:val="00683D69"/>
    <w:rsid w:val="006844A1"/>
    <w:rsid w:val="006848C0"/>
    <w:rsid w:val="00684F0E"/>
    <w:rsid w:val="0068526B"/>
    <w:rsid w:val="00685657"/>
    <w:rsid w:val="0068593E"/>
    <w:rsid w:val="006869D9"/>
    <w:rsid w:val="00687315"/>
    <w:rsid w:val="006874EF"/>
    <w:rsid w:val="00687DC5"/>
    <w:rsid w:val="00690154"/>
    <w:rsid w:val="00690998"/>
    <w:rsid w:val="00690A4F"/>
    <w:rsid w:val="00690F5A"/>
    <w:rsid w:val="00690F5C"/>
    <w:rsid w:val="00691101"/>
    <w:rsid w:val="006919B1"/>
    <w:rsid w:val="00691DB6"/>
    <w:rsid w:val="0069245A"/>
    <w:rsid w:val="00692A27"/>
    <w:rsid w:val="006935BE"/>
    <w:rsid w:val="006936B9"/>
    <w:rsid w:val="00693886"/>
    <w:rsid w:val="00694100"/>
    <w:rsid w:val="0069421F"/>
    <w:rsid w:val="006945C7"/>
    <w:rsid w:val="00694619"/>
    <w:rsid w:val="006949BD"/>
    <w:rsid w:val="00694E99"/>
    <w:rsid w:val="006957C0"/>
    <w:rsid w:val="00695B39"/>
    <w:rsid w:val="00696E08"/>
    <w:rsid w:val="0069742C"/>
    <w:rsid w:val="006976A2"/>
    <w:rsid w:val="006979C4"/>
    <w:rsid w:val="00697DD3"/>
    <w:rsid w:val="00697FA0"/>
    <w:rsid w:val="006A09B5"/>
    <w:rsid w:val="006A0A9A"/>
    <w:rsid w:val="006A0C2E"/>
    <w:rsid w:val="006A0C8D"/>
    <w:rsid w:val="006A0D21"/>
    <w:rsid w:val="006A1373"/>
    <w:rsid w:val="006A1420"/>
    <w:rsid w:val="006A1B07"/>
    <w:rsid w:val="006A1E34"/>
    <w:rsid w:val="006A2183"/>
    <w:rsid w:val="006A2303"/>
    <w:rsid w:val="006A28C3"/>
    <w:rsid w:val="006A28E9"/>
    <w:rsid w:val="006A2A0E"/>
    <w:rsid w:val="006A309D"/>
    <w:rsid w:val="006A339F"/>
    <w:rsid w:val="006A3E9E"/>
    <w:rsid w:val="006A535C"/>
    <w:rsid w:val="006A6369"/>
    <w:rsid w:val="006A6CE8"/>
    <w:rsid w:val="006A795C"/>
    <w:rsid w:val="006A7C02"/>
    <w:rsid w:val="006A7DAE"/>
    <w:rsid w:val="006B0136"/>
    <w:rsid w:val="006B07E2"/>
    <w:rsid w:val="006B0E9A"/>
    <w:rsid w:val="006B0FFC"/>
    <w:rsid w:val="006B109F"/>
    <w:rsid w:val="006B1316"/>
    <w:rsid w:val="006B1690"/>
    <w:rsid w:val="006B1798"/>
    <w:rsid w:val="006B19B2"/>
    <w:rsid w:val="006B1BF6"/>
    <w:rsid w:val="006B2000"/>
    <w:rsid w:val="006B2257"/>
    <w:rsid w:val="006B2494"/>
    <w:rsid w:val="006B3461"/>
    <w:rsid w:val="006B3626"/>
    <w:rsid w:val="006B43F3"/>
    <w:rsid w:val="006B445C"/>
    <w:rsid w:val="006B5192"/>
    <w:rsid w:val="006B5607"/>
    <w:rsid w:val="006B5A23"/>
    <w:rsid w:val="006B635B"/>
    <w:rsid w:val="006B6AF6"/>
    <w:rsid w:val="006B6AFE"/>
    <w:rsid w:val="006B7223"/>
    <w:rsid w:val="006B75EE"/>
    <w:rsid w:val="006B76C8"/>
    <w:rsid w:val="006B7FD3"/>
    <w:rsid w:val="006C0429"/>
    <w:rsid w:val="006C1243"/>
    <w:rsid w:val="006C18B7"/>
    <w:rsid w:val="006C1C46"/>
    <w:rsid w:val="006C2CE4"/>
    <w:rsid w:val="006C31D8"/>
    <w:rsid w:val="006C35FC"/>
    <w:rsid w:val="006C384B"/>
    <w:rsid w:val="006C3D9E"/>
    <w:rsid w:val="006C40E3"/>
    <w:rsid w:val="006C518C"/>
    <w:rsid w:val="006C53AE"/>
    <w:rsid w:val="006C5403"/>
    <w:rsid w:val="006C5B72"/>
    <w:rsid w:val="006C6242"/>
    <w:rsid w:val="006C62A5"/>
    <w:rsid w:val="006C6E11"/>
    <w:rsid w:val="006C72F5"/>
    <w:rsid w:val="006C7603"/>
    <w:rsid w:val="006C7E69"/>
    <w:rsid w:val="006D0408"/>
    <w:rsid w:val="006D07A6"/>
    <w:rsid w:val="006D092B"/>
    <w:rsid w:val="006D13D1"/>
    <w:rsid w:val="006D1658"/>
    <w:rsid w:val="006D1A84"/>
    <w:rsid w:val="006D1EEB"/>
    <w:rsid w:val="006D298A"/>
    <w:rsid w:val="006D2A97"/>
    <w:rsid w:val="006D2E5A"/>
    <w:rsid w:val="006D3198"/>
    <w:rsid w:val="006D3316"/>
    <w:rsid w:val="006D33BF"/>
    <w:rsid w:val="006D3653"/>
    <w:rsid w:val="006D3C6E"/>
    <w:rsid w:val="006D4082"/>
    <w:rsid w:val="006D40C7"/>
    <w:rsid w:val="006D47DA"/>
    <w:rsid w:val="006D54E1"/>
    <w:rsid w:val="006D5549"/>
    <w:rsid w:val="006D5668"/>
    <w:rsid w:val="006D5ED3"/>
    <w:rsid w:val="006D5F02"/>
    <w:rsid w:val="006D6339"/>
    <w:rsid w:val="006D6D3A"/>
    <w:rsid w:val="006D6FED"/>
    <w:rsid w:val="006D7654"/>
    <w:rsid w:val="006D78B5"/>
    <w:rsid w:val="006D7AE0"/>
    <w:rsid w:val="006D7C9C"/>
    <w:rsid w:val="006E02B0"/>
    <w:rsid w:val="006E057B"/>
    <w:rsid w:val="006E0E15"/>
    <w:rsid w:val="006E10FE"/>
    <w:rsid w:val="006E1252"/>
    <w:rsid w:val="006E12AE"/>
    <w:rsid w:val="006E13F4"/>
    <w:rsid w:val="006E1637"/>
    <w:rsid w:val="006E17F0"/>
    <w:rsid w:val="006E1850"/>
    <w:rsid w:val="006E1BB9"/>
    <w:rsid w:val="006E2126"/>
    <w:rsid w:val="006E3540"/>
    <w:rsid w:val="006E3A6C"/>
    <w:rsid w:val="006E3EFB"/>
    <w:rsid w:val="006E4484"/>
    <w:rsid w:val="006E48C1"/>
    <w:rsid w:val="006E4928"/>
    <w:rsid w:val="006E5235"/>
    <w:rsid w:val="006E52E2"/>
    <w:rsid w:val="006E5364"/>
    <w:rsid w:val="006E553D"/>
    <w:rsid w:val="006E580B"/>
    <w:rsid w:val="006E5A10"/>
    <w:rsid w:val="006E5A7B"/>
    <w:rsid w:val="006E5C89"/>
    <w:rsid w:val="006E5EC4"/>
    <w:rsid w:val="006E719E"/>
    <w:rsid w:val="006E7495"/>
    <w:rsid w:val="006E79F3"/>
    <w:rsid w:val="006F0624"/>
    <w:rsid w:val="006F0B89"/>
    <w:rsid w:val="006F107D"/>
    <w:rsid w:val="006F193C"/>
    <w:rsid w:val="006F23AF"/>
    <w:rsid w:val="006F2936"/>
    <w:rsid w:val="006F297D"/>
    <w:rsid w:val="006F2B15"/>
    <w:rsid w:val="006F2F66"/>
    <w:rsid w:val="006F3457"/>
    <w:rsid w:val="006F37FE"/>
    <w:rsid w:val="006F3CBE"/>
    <w:rsid w:val="006F3FE7"/>
    <w:rsid w:val="006F4108"/>
    <w:rsid w:val="006F5DCA"/>
    <w:rsid w:val="006F6048"/>
    <w:rsid w:val="006F632E"/>
    <w:rsid w:val="006F65AC"/>
    <w:rsid w:val="006F7BC1"/>
    <w:rsid w:val="00700877"/>
    <w:rsid w:val="00700DB9"/>
    <w:rsid w:val="00700DD9"/>
    <w:rsid w:val="00701523"/>
    <w:rsid w:val="00701529"/>
    <w:rsid w:val="007020E5"/>
    <w:rsid w:val="0070246E"/>
    <w:rsid w:val="007026D3"/>
    <w:rsid w:val="007028FB"/>
    <w:rsid w:val="007030A8"/>
    <w:rsid w:val="00703321"/>
    <w:rsid w:val="007035B0"/>
    <w:rsid w:val="0070379F"/>
    <w:rsid w:val="00703D68"/>
    <w:rsid w:val="0070441A"/>
    <w:rsid w:val="007044ED"/>
    <w:rsid w:val="007049B5"/>
    <w:rsid w:val="00704CB0"/>
    <w:rsid w:val="0070542B"/>
    <w:rsid w:val="00705B87"/>
    <w:rsid w:val="00706DCC"/>
    <w:rsid w:val="00707834"/>
    <w:rsid w:val="00707FE9"/>
    <w:rsid w:val="007102C4"/>
    <w:rsid w:val="00710AE0"/>
    <w:rsid w:val="00711336"/>
    <w:rsid w:val="00712163"/>
    <w:rsid w:val="00712DE4"/>
    <w:rsid w:val="00713691"/>
    <w:rsid w:val="00713DF5"/>
    <w:rsid w:val="00713ECC"/>
    <w:rsid w:val="00714880"/>
    <w:rsid w:val="00714F03"/>
    <w:rsid w:val="00715098"/>
    <w:rsid w:val="007158B8"/>
    <w:rsid w:val="00715ADC"/>
    <w:rsid w:val="007160E1"/>
    <w:rsid w:val="007161B1"/>
    <w:rsid w:val="0071622E"/>
    <w:rsid w:val="007162F2"/>
    <w:rsid w:val="007168B5"/>
    <w:rsid w:val="00716FD2"/>
    <w:rsid w:val="00717127"/>
    <w:rsid w:val="0071714A"/>
    <w:rsid w:val="0071742B"/>
    <w:rsid w:val="00717465"/>
    <w:rsid w:val="007176BC"/>
    <w:rsid w:val="00720E1A"/>
    <w:rsid w:val="00721C82"/>
    <w:rsid w:val="007225A3"/>
    <w:rsid w:val="00722E63"/>
    <w:rsid w:val="007231C5"/>
    <w:rsid w:val="00723472"/>
    <w:rsid w:val="00723496"/>
    <w:rsid w:val="007235A5"/>
    <w:rsid w:val="007236F7"/>
    <w:rsid w:val="007243F5"/>
    <w:rsid w:val="00724542"/>
    <w:rsid w:val="00725967"/>
    <w:rsid w:val="007261FF"/>
    <w:rsid w:val="007264F0"/>
    <w:rsid w:val="00726BA4"/>
    <w:rsid w:val="00726CAD"/>
    <w:rsid w:val="00727826"/>
    <w:rsid w:val="00730324"/>
    <w:rsid w:val="007303F1"/>
    <w:rsid w:val="007309C7"/>
    <w:rsid w:val="00730D4F"/>
    <w:rsid w:val="00730FC2"/>
    <w:rsid w:val="00730FEF"/>
    <w:rsid w:val="007310DF"/>
    <w:rsid w:val="00731B28"/>
    <w:rsid w:val="00731C50"/>
    <w:rsid w:val="00731EC2"/>
    <w:rsid w:val="00731F2E"/>
    <w:rsid w:val="00731FD8"/>
    <w:rsid w:val="00732215"/>
    <w:rsid w:val="00732291"/>
    <w:rsid w:val="00732665"/>
    <w:rsid w:val="00732C50"/>
    <w:rsid w:val="00732FE3"/>
    <w:rsid w:val="0073318A"/>
    <w:rsid w:val="00733429"/>
    <w:rsid w:val="00734931"/>
    <w:rsid w:val="007350DA"/>
    <w:rsid w:val="0073543B"/>
    <w:rsid w:val="007359AC"/>
    <w:rsid w:val="007361AA"/>
    <w:rsid w:val="007363CF"/>
    <w:rsid w:val="007367E0"/>
    <w:rsid w:val="007369C6"/>
    <w:rsid w:val="00736EF7"/>
    <w:rsid w:val="00736F88"/>
    <w:rsid w:val="007374E3"/>
    <w:rsid w:val="007377F9"/>
    <w:rsid w:val="0073799B"/>
    <w:rsid w:val="00737CE1"/>
    <w:rsid w:val="007401A5"/>
    <w:rsid w:val="00740BBB"/>
    <w:rsid w:val="00740F34"/>
    <w:rsid w:val="0074108B"/>
    <w:rsid w:val="00741831"/>
    <w:rsid w:val="00741C12"/>
    <w:rsid w:val="00741E8B"/>
    <w:rsid w:val="0074249C"/>
    <w:rsid w:val="0074297A"/>
    <w:rsid w:val="0074340C"/>
    <w:rsid w:val="00743AD8"/>
    <w:rsid w:val="00743B14"/>
    <w:rsid w:val="00744416"/>
    <w:rsid w:val="00744689"/>
    <w:rsid w:val="00744841"/>
    <w:rsid w:val="00745204"/>
    <w:rsid w:val="0074660B"/>
    <w:rsid w:val="00746696"/>
    <w:rsid w:val="007468C0"/>
    <w:rsid w:val="0074696C"/>
    <w:rsid w:val="00746FF9"/>
    <w:rsid w:val="007476F7"/>
    <w:rsid w:val="00750C26"/>
    <w:rsid w:val="00750C41"/>
    <w:rsid w:val="007511BE"/>
    <w:rsid w:val="00751494"/>
    <w:rsid w:val="0075155F"/>
    <w:rsid w:val="007516F5"/>
    <w:rsid w:val="00751BB3"/>
    <w:rsid w:val="00751FF3"/>
    <w:rsid w:val="007524FB"/>
    <w:rsid w:val="00752C2A"/>
    <w:rsid w:val="00752E6F"/>
    <w:rsid w:val="0075328E"/>
    <w:rsid w:val="0075339A"/>
    <w:rsid w:val="0075393B"/>
    <w:rsid w:val="007539C6"/>
    <w:rsid w:val="00753BC8"/>
    <w:rsid w:val="00755080"/>
    <w:rsid w:val="007553A5"/>
    <w:rsid w:val="00755799"/>
    <w:rsid w:val="00755975"/>
    <w:rsid w:val="00755D5C"/>
    <w:rsid w:val="00755F7A"/>
    <w:rsid w:val="00756C49"/>
    <w:rsid w:val="00757132"/>
    <w:rsid w:val="007573EF"/>
    <w:rsid w:val="007574DF"/>
    <w:rsid w:val="00757770"/>
    <w:rsid w:val="00757DF5"/>
    <w:rsid w:val="00757E50"/>
    <w:rsid w:val="007600D9"/>
    <w:rsid w:val="00760441"/>
    <w:rsid w:val="00760516"/>
    <w:rsid w:val="007609F1"/>
    <w:rsid w:val="00760DE8"/>
    <w:rsid w:val="00761570"/>
    <w:rsid w:val="007615ED"/>
    <w:rsid w:val="007618CE"/>
    <w:rsid w:val="00761E34"/>
    <w:rsid w:val="00761EAD"/>
    <w:rsid w:val="00761F2F"/>
    <w:rsid w:val="00762385"/>
    <w:rsid w:val="0076280C"/>
    <w:rsid w:val="0076320B"/>
    <w:rsid w:val="007635B6"/>
    <w:rsid w:val="00763660"/>
    <w:rsid w:val="007639EE"/>
    <w:rsid w:val="007641EE"/>
    <w:rsid w:val="00764493"/>
    <w:rsid w:val="00764D5E"/>
    <w:rsid w:val="0076641D"/>
    <w:rsid w:val="00766D1A"/>
    <w:rsid w:val="00766F55"/>
    <w:rsid w:val="00766FC7"/>
    <w:rsid w:val="00767226"/>
    <w:rsid w:val="00767348"/>
    <w:rsid w:val="007676FA"/>
    <w:rsid w:val="007676FD"/>
    <w:rsid w:val="0076782B"/>
    <w:rsid w:val="00767A87"/>
    <w:rsid w:val="007702B7"/>
    <w:rsid w:val="0077063D"/>
    <w:rsid w:val="007708B9"/>
    <w:rsid w:val="00770BCD"/>
    <w:rsid w:val="00770C0C"/>
    <w:rsid w:val="00770FF3"/>
    <w:rsid w:val="00771026"/>
    <w:rsid w:val="00771506"/>
    <w:rsid w:val="0077185E"/>
    <w:rsid w:val="007723A4"/>
    <w:rsid w:val="007729EC"/>
    <w:rsid w:val="00772AE4"/>
    <w:rsid w:val="00772E35"/>
    <w:rsid w:val="00773F4D"/>
    <w:rsid w:val="00773FFF"/>
    <w:rsid w:val="00774024"/>
    <w:rsid w:val="00774611"/>
    <w:rsid w:val="00774B3E"/>
    <w:rsid w:val="00774E6D"/>
    <w:rsid w:val="007757D5"/>
    <w:rsid w:val="00775A5C"/>
    <w:rsid w:val="00775E6F"/>
    <w:rsid w:val="00775FFC"/>
    <w:rsid w:val="00776460"/>
    <w:rsid w:val="00777109"/>
    <w:rsid w:val="007774B1"/>
    <w:rsid w:val="00777EA6"/>
    <w:rsid w:val="00777F35"/>
    <w:rsid w:val="0078088E"/>
    <w:rsid w:val="00780EC0"/>
    <w:rsid w:val="00780FCE"/>
    <w:rsid w:val="007810E5"/>
    <w:rsid w:val="00781101"/>
    <w:rsid w:val="00781142"/>
    <w:rsid w:val="007816BB"/>
    <w:rsid w:val="00781BA3"/>
    <w:rsid w:val="00782160"/>
    <w:rsid w:val="00782782"/>
    <w:rsid w:val="00782C9E"/>
    <w:rsid w:val="007837E3"/>
    <w:rsid w:val="0078432A"/>
    <w:rsid w:val="00784893"/>
    <w:rsid w:val="007849C7"/>
    <w:rsid w:val="00784B69"/>
    <w:rsid w:val="00785687"/>
    <w:rsid w:val="00785E33"/>
    <w:rsid w:val="00786012"/>
    <w:rsid w:val="00786351"/>
    <w:rsid w:val="00786844"/>
    <w:rsid w:val="007870AD"/>
    <w:rsid w:val="007878C9"/>
    <w:rsid w:val="007879F1"/>
    <w:rsid w:val="00787B4D"/>
    <w:rsid w:val="00790299"/>
    <w:rsid w:val="0079063F"/>
    <w:rsid w:val="007906AE"/>
    <w:rsid w:val="00790A2E"/>
    <w:rsid w:val="00790AE6"/>
    <w:rsid w:val="00790B6D"/>
    <w:rsid w:val="00790F4E"/>
    <w:rsid w:val="00791307"/>
    <w:rsid w:val="00791646"/>
    <w:rsid w:val="007919AD"/>
    <w:rsid w:val="00792466"/>
    <w:rsid w:val="00792546"/>
    <w:rsid w:val="007937FB"/>
    <w:rsid w:val="00793A20"/>
    <w:rsid w:val="00793D55"/>
    <w:rsid w:val="0079418A"/>
    <w:rsid w:val="0079573C"/>
    <w:rsid w:val="0079610A"/>
    <w:rsid w:val="00796844"/>
    <w:rsid w:val="00796B4E"/>
    <w:rsid w:val="00796C33"/>
    <w:rsid w:val="007970A4"/>
    <w:rsid w:val="007976D2"/>
    <w:rsid w:val="00797CE4"/>
    <w:rsid w:val="00797F1F"/>
    <w:rsid w:val="00797FA2"/>
    <w:rsid w:val="007A23B8"/>
    <w:rsid w:val="007A2A7F"/>
    <w:rsid w:val="007A3688"/>
    <w:rsid w:val="007A3738"/>
    <w:rsid w:val="007A38CC"/>
    <w:rsid w:val="007A3D06"/>
    <w:rsid w:val="007A3D08"/>
    <w:rsid w:val="007A424B"/>
    <w:rsid w:val="007A4BE6"/>
    <w:rsid w:val="007A54EC"/>
    <w:rsid w:val="007A58EF"/>
    <w:rsid w:val="007A5C5F"/>
    <w:rsid w:val="007A6436"/>
    <w:rsid w:val="007A64C2"/>
    <w:rsid w:val="007A65AB"/>
    <w:rsid w:val="007A6956"/>
    <w:rsid w:val="007A72FF"/>
    <w:rsid w:val="007A7351"/>
    <w:rsid w:val="007A7846"/>
    <w:rsid w:val="007A7C30"/>
    <w:rsid w:val="007A7D1B"/>
    <w:rsid w:val="007A7E3E"/>
    <w:rsid w:val="007B007B"/>
    <w:rsid w:val="007B08C1"/>
    <w:rsid w:val="007B0FC1"/>
    <w:rsid w:val="007B1B6A"/>
    <w:rsid w:val="007B1F22"/>
    <w:rsid w:val="007B20E6"/>
    <w:rsid w:val="007B26F9"/>
    <w:rsid w:val="007B2962"/>
    <w:rsid w:val="007B2A24"/>
    <w:rsid w:val="007B3066"/>
    <w:rsid w:val="007B3506"/>
    <w:rsid w:val="007B36B2"/>
    <w:rsid w:val="007B376D"/>
    <w:rsid w:val="007B3797"/>
    <w:rsid w:val="007B3A45"/>
    <w:rsid w:val="007B427C"/>
    <w:rsid w:val="007B4483"/>
    <w:rsid w:val="007B4525"/>
    <w:rsid w:val="007B51F4"/>
    <w:rsid w:val="007B5EF3"/>
    <w:rsid w:val="007B5F7F"/>
    <w:rsid w:val="007B5FAB"/>
    <w:rsid w:val="007B6C63"/>
    <w:rsid w:val="007B7146"/>
    <w:rsid w:val="007B7645"/>
    <w:rsid w:val="007B764A"/>
    <w:rsid w:val="007B78FC"/>
    <w:rsid w:val="007C00F2"/>
    <w:rsid w:val="007C02C4"/>
    <w:rsid w:val="007C05F8"/>
    <w:rsid w:val="007C0D24"/>
    <w:rsid w:val="007C1469"/>
    <w:rsid w:val="007C19A8"/>
    <w:rsid w:val="007C1D27"/>
    <w:rsid w:val="007C2529"/>
    <w:rsid w:val="007C267E"/>
    <w:rsid w:val="007C2C91"/>
    <w:rsid w:val="007C3CB5"/>
    <w:rsid w:val="007C40DC"/>
    <w:rsid w:val="007C4C17"/>
    <w:rsid w:val="007C51CC"/>
    <w:rsid w:val="007C51F2"/>
    <w:rsid w:val="007C5BEA"/>
    <w:rsid w:val="007C6AFF"/>
    <w:rsid w:val="007C6B5C"/>
    <w:rsid w:val="007C6FC3"/>
    <w:rsid w:val="007C704C"/>
    <w:rsid w:val="007C76E5"/>
    <w:rsid w:val="007C7CE7"/>
    <w:rsid w:val="007D0600"/>
    <w:rsid w:val="007D0FDB"/>
    <w:rsid w:val="007D12DC"/>
    <w:rsid w:val="007D1522"/>
    <w:rsid w:val="007D1E8C"/>
    <w:rsid w:val="007D2377"/>
    <w:rsid w:val="007D2787"/>
    <w:rsid w:val="007D2C9A"/>
    <w:rsid w:val="007D3215"/>
    <w:rsid w:val="007D38BF"/>
    <w:rsid w:val="007D3AFC"/>
    <w:rsid w:val="007D3BD3"/>
    <w:rsid w:val="007D40B8"/>
    <w:rsid w:val="007D453C"/>
    <w:rsid w:val="007D4FA8"/>
    <w:rsid w:val="007D5BB5"/>
    <w:rsid w:val="007D623D"/>
    <w:rsid w:val="007D65F4"/>
    <w:rsid w:val="007D6981"/>
    <w:rsid w:val="007D6ACC"/>
    <w:rsid w:val="007D6F09"/>
    <w:rsid w:val="007D6F4F"/>
    <w:rsid w:val="007D74B4"/>
    <w:rsid w:val="007D7CA6"/>
    <w:rsid w:val="007E07D2"/>
    <w:rsid w:val="007E0C1F"/>
    <w:rsid w:val="007E0DB2"/>
    <w:rsid w:val="007E0E7F"/>
    <w:rsid w:val="007E0E89"/>
    <w:rsid w:val="007E1CE9"/>
    <w:rsid w:val="007E2087"/>
    <w:rsid w:val="007E29DD"/>
    <w:rsid w:val="007E3894"/>
    <w:rsid w:val="007E3CD5"/>
    <w:rsid w:val="007E4032"/>
    <w:rsid w:val="007E4085"/>
    <w:rsid w:val="007E431C"/>
    <w:rsid w:val="007E4B33"/>
    <w:rsid w:val="007E53EF"/>
    <w:rsid w:val="007E5880"/>
    <w:rsid w:val="007E5907"/>
    <w:rsid w:val="007E5A02"/>
    <w:rsid w:val="007E5D66"/>
    <w:rsid w:val="007E667A"/>
    <w:rsid w:val="007E7089"/>
    <w:rsid w:val="007E7643"/>
    <w:rsid w:val="007F00FA"/>
    <w:rsid w:val="007F016C"/>
    <w:rsid w:val="007F09A6"/>
    <w:rsid w:val="007F1120"/>
    <w:rsid w:val="007F1A4D"/>
    <w:rsid w:val="007F1FFD"/>
    <w:rsid w:val="007F2121"/>
    <w:rsid w:val="007F22FB"/>
    <w:rsid w:val="007F257F"/>
    <w:rsid w:val="007F283E"/>
    <w:rsid w:val="007F2B00"/>
    <w:rsid w:val="007F2DD0"/>
    <w:rsid w:val="007F2F59"/>
    <w:rsid w:val="007F3210"/>
    <w:rsid w:val="007F40EA"/>
    <w:rsid w:val="007F460A"/>
    <w:rsid w:val="007F4AE0"/>
    <w:rsid w:val="007F5151"/>
    <w:rsid w:val="007F5A19"/>
    <w:rsid w:val="007F5EB7"/>
    <w:rsid w:val="007F6071"/>
    <w:rsid w:val="007F6364"/>
    <w:rsid w:val="007F6832"/>
    <w:rsid w:val="007F6BBA"/>
    <w:rsid w:val="007F6FDD"/>
    <w:rsid w:val="007F7443"/>
    <w:rsid w:val="007F79AA"/>
    <w:rsid w:val="007F7A53"/>
    <w:rsid w:val="007F7DCF"/>
    <w:rsid w:val="0080003E"/>
    <w:rsid w:val="0080060E"/>
    <w:rsid w:val="008008C4"/>
    <w:rsid w:val="00800A19"/>
    <w:rsid w:val="00800CBC"/>
    <w:rsid w:val="00800D2F"/>
    <w:rsid w:val="0080150A"/>
    <w:rsid w:val="00802144"/>
    <w:rsid w:val="008026CD"/>
    <w:rsid w:val="00802D8F"/>
    <w:rsid w:val="00803277"/>
    <w:rsid w:val="008038BC"/>
    <w:rsid w:val="00803BB5"/>
    <w:rsid w:val="00804310"/>
    <w:rsid w:val="00804B4D"/>
    <w:rsid w:val="00804B78"/>
    <w:rsid w:val="00804D62"/>
    <w:rsid w:val="00805012"/>
    <w:rsid w:val="0080588D"/>
    <w:rsid w:val="00807033"/>
    <w:rsid w:val="008072B6"/>
    <w:rsid w:val="0080732C"/>
    <w:rsid w:val="00807A32"/>
    <w:rsid w:val="00807AA8"/>
    <w:rsid w:val="00807BF5"/>
    <w:rsid w:val="00810025"/>
    <w:rsid w:val="00810087"/>
    <w:rsid w:val="00810372"/>
    <w:rsid w:val="00810C9C"/>
    <w:rsid w:val="00810D8B"/>
    <w:rsid w:val="008114FE"/>
    <w:rsid w:val="008126FB"/>
    <w:rsid w:val="00812716"/>
    <w:rsid w:val="00812E55"/>
    <w:rsid w:val="00812E81"/>
    <w:rsid w:val="00813727"/>
    <w:rsid w:val="00813AF3"/>
    <w:rsid w:val="00814561"/>
    <w:rsid w:val="0081499C"/>
    <w:rsid w:val="00814A70"/>
    <w:rsid w:val="00814BCE"/>
    <w:rsid w:val="00814C9A"/>
    <w:rsid w:val="00814F01"/>
    <w:rsid w:val="008151BE"/>
    <w:rsid w:val="00815404"/>
    <w:rsid w:val="00815BA7"/>
    <w:rsid w:val="0081638F"/>
    <w:rsid w:val="00816C38"/>
    <w:rsid w:val="00816E7B"/>
    <w:rsid w:val="0081783C"/>
    <w:rsid w:val="008204F7"/>
    <w:rsid w:val="008209D3"/>
    <w:rsid w:val="00820FF1"/>
    <w:rsid w:val="00821104"/>
    <w:rsid w:val="0082144C"/>
    <w:rsid w:val="00821D86"/>
    <w:rsid w:val="00821F99"/>
    <w:rsid w:val="008220B9"/>
    <w:rsid w:val="008224A9"/>
    <w:rsid w:val="00822AF0"/>
    <w:rsid w:val="0082325C"/>
    <w:rsid w:val="00823ABC"/>
    <w:rsid w:val="00823AD4"/>
    <w:rsid w:val="00824073"/>
    <w:rsid w:val="008243E9"/>
    <w:rsid w:val="00824D75"/>
    <w:rsid w:val="00825347"/>
    <w:rsid w:val="00825D54"/>
    <w:rsid w:val="00825F8D"/>
    <w:rsid w:val="00825FDF"/>
    <w:rsid w:val="0082601C"/>
    <w:rsid w:val="00826077"/>
    <w:rsid w:val="008260EA"/>
    <w:rsid w:val="008261CA"/>
    <w:rsid w:val="0082628A"/>
    <w:rsid w:val="00826499"/>
    <w:rsid w:val="00826A5A"/>
    <w:rsid w:val="00827003"/>
    <w:rsid w:val="008273D4"/>
    <w:rsid w:val="00830078"/>
    <w:rsid w:val="00830082"/>
    <w:rsid w:val="008307A6"/>
    <w:rsid w:val="00830E0D"/>
    <w:rsid w:val="00830E85"/>
    <w:rsid w:val="008319D2"/>
    <w:rsid w:val="00831AEB"/>
    <w:rsid w:val="008320DF"/>
    <w:rsid w:val="00832134"/>
    <w:rsid w:val="00832E3B"/>
    <w:rsid w:val="00833FAC"/>
    <w:rsid w:val="0083405D"/>
    <w:rsid w:val="008347E7"/>
    <w:rsid w:val="0083588D"/>
    <w:rsid w:val="0083597F"/>
    <w:rsid w:val="008371AA"/>
    <w:rsid w:val="0083731D"/>
    <w:rsid w:val="00837BFF"/>
    <w:rsid w:val="00840CEE"/>
    <w:rsid w:val="00840CFB"/>
    <w:rsid w:val="008414C4"/>
    <w:rsid w:val="008415B4"/>
    <w:rsid w:val="00841682"/>
    <w:rsid w:val="00841716"/>
    <w:rsid w:val="008417B7"/>
    <w:rsid w:val="00841808"/>
    <w:rsid w:val="008418F8"/>
    <w:rsid w:val="00841C4B"/>
    <w:rsid w:val="00842E30"/>
    <w:rsid w:val="00842ED3"/>
    <w:rsid w:val="00843093"/>
    <w:rsid w:val="00843383"/>
    <w:rsid w:val="008439F5"/>
    <w:rsid w:val="0084421A"/>
    <w:rsid w:val="008442E8"/>
    <w:rsid w:val="008452F7"/>
    <w:rsid w:val="008454D6"/>
    <w:rsid w:val="0084562F"/>
    <w:rsid w:val="00845767"/>
    <w:rsid w:val="00845F7B"/>
    <w:rsid w:val="00845FFB"/>
    <w:rsid w:val="00846193"/>
    <w:rsid w:val="0084620C"/>
    <w:rsid w:val="008464B9"/>
    <w:rsid w:val="008468FD"/>
    <w:rsid w:val="00846EE9"/>
    <w:rsid w:val="00846F4C"/>
    <w:rsid w:val="008470CE"/>
    <w:rsid w:val="00847124"/>
    <w:rsid w:val="00847FEC"/>
    <w:rsid w:val="0085085B"/>
    <w:rsid w:val="008508A2"/>
    <w:rsid w:val="00850C6B"/>
    <w:rsid w:val="0085108E"/>
    <w:rsid w:val="00851637"/>
    <w:rsid w:val="00851772"/>
    <w:rsid w:val="00851D99"/>
    <w:rsid w:val="00851E83"/>
    <w:rsid w:val="00851EFA"/>
    <w:rsid w:val="00852069"/>
    <w:rsid w:val="0085289E"/>
    <w:rsid w:val="00852AAF"/>
    <w:rsid w:val="00852B4C"/>
    <w:rsid w:val="00852C80"/>
    <w:rsid w:val="00854AAD"/>
    <w:rsid w:val="00854FF7"/>
    <w:rsid w:val="00855026"/>
    <w:rsid w:val="008551E4"/>
    <w:rsid w:val="00855536"/>
    <w:rsid w:val="00855927"/>
    <w:rsid w:val="00855B73"/>
    <w:rsid w:val="00855B84"/>
    <w:rsid w:val="00856799"/>
    <w:rsid w:val="0085682D"/>
    <w:rsid w:val="008568B7"/>
    <w:rsid w:val="00856D40"/>
    <w:rsid w:val="0085770A"/>
    <w:rsid w:val="00857A50"/>
    <w:rsid w:val="00857C40"/>
    <w:rsid w:val="00857DD3"/>
    <w:rsid w:val="00860608"/>
    <w:rsid w:val="00860B92"/>
    <w:rsid w:val="00860C22"/>
    <w:rsid w:val="0086160C"/>
    <w:rsid w:val="00861610"/>
    <w:rsid w:val="00861992"/>
    <w:rsid w:val="00861C95"/>
    <w:rsid w:val="00861E2E"/>
    <w:rsid w:val="008628B8"/>
    <w:rsid w:val="0086298D"/>
    <w:rsid w:val="00862F22"/>
    <w:rsid w:val="00863086"/>
    <w:rsid w:val="00863A65"/>
    <w:rsid w:val="00863C16"/>
    <w:rsid w:val="00864629"/>
    <w:rsid w:val="00865441"/>
    <w:rsid w:val="00865F64"/>
    <w:rsid w:val="00866521"/>
    <w:rsid w:val="00866921"/>
    <w:rsid w:val="0086749F"/>
    <w:rsid w:val="00867D81"/>
    <w:rsid w:val="00870B79"/>
    <w:rsid w:val="00871501"/>
    <w:rsid w:val="00871711"/>
    <w:rsid w:val="008725E9"/>
    <w:rsid w:val="0087272C"/>
    <w:rsid w:val="00872970"/>
    <w:rsid w:val="00872AC6"/>
    <w:rsid w:val="00872C9A"/>
    <w:rsid w:val="00872CE3"/>
    <w:rsid w:val="00872DA5"/>
    <w:rsid w:val="00873DED"/>
    <w:rsid w:val="00874214"/>
    <w:rsid w:val="008743B8"/>
    <w:rsid w:val="008748B9"/>
    <w:rsid w:val="00874ADA"/>
    <w:rsid w:val="00874C24"/>
    <w:rsid w:val="00874FB6"/>
    <w:rsid w:val="00875981"/>
    <w:rsid w:val="00875A0B"/>
    <w:rsid w:val="00875E18"/>
    <w:rsid w:val="0087600E"/>
    <w:rsid w:val="00876266"/>
    <w:rsid w:val="008765FF"/>
    <w:rsid w:val="00876E61"/>
    <w:rsid w:val="00877880"/>
    <w:rsid w:val="008778FD"/>
    <w:rsid w:val="00880653"/>
    <w:rsid w:val="00880E6A"/>
    <w:rsid w:val="00881483"/>
    <w:rsid w:val="00881C5C"/>
    <w:rsid w:val="008825E8"/>
    <w:rsid w:val="0088295E"/>
    <w:rsid w:val="0088368D"/>
    <w:rsid w:val="00883C84"/>
    <w:rsid w:val="00884106"/>
    <w:rsid w:val="00884503"/>
    <w:rsid w:val="0088486F"/>
    <w:rsid w:val="00885018"/>
    <w:rsid w:val="0088609B"/>
    <w:rsid w:val="0088636D"/>
    <w:rsid w:val="0088678D"/>
    <w:rsid w:val="00887097"/>
    <w:rsid w:val="0088732F"/>
    <w:rsid w:val="008876A3"/>
    <w:rsid w:val="00887B3A"/>
    <w:rsid w:val="00887EDA"/>
    <w:rsid w:val="00890450"/>
    <w:rsid w:val="00890491"/>
    <w:rsid w:val="00890811"/>
    <w:rsid w:val="008909C4"/>
    <w:rsid w:val="00890D50"/>
    <w:rsid w:val="0089143D"/>
    <w:rsid w:val="0089151D"/>
    <w:rsid w:val="00891853"/>
    <w:rsid w:val="00891BE6"/>
    <w:rsid w:val="00891D67"/>
    <w:rsid w:val="00891F6A"/>
    <w:rsid w:val="008923F0"/>
    <w:rsid w:val="00892582"/>
    <w:rsid w:val="00892770"/>
    <w:rsid w:val="00892931"/>
    <w:rsid w:val="008929D2"/>
    <w:rsid w:val="008937C7"/>
    <w:rsid w:val="00893BF0"/>
    <w:rsid w:val="008941D4"/>
    <w:rsid w:val="008942DE"/>
    <w:rsid w:val="008943C9"/>
    <w:rsid w:val="00894661"/>
    <w:rsid w:val="0089466B"/>
    <w:rsid w:val="00894A0E"/>
    <w:rsid w:val="008951D1"/>
    <w:rsid w:val="00895B0B"/>
    <w:rsid w:val="00895CF4"/>
    <w:rsid w:val="00895EE2"/>
    <w:rsid w:val="0089677A"/>
    <w:rsid w:val="0089754F"/>
    <w:rsid w:val="008A04CD"/>
    <w:rsid w:val="008A0905"/>
    <w:rsid w:val="008A0AEE"/>
    <w:rsid w:val="008A10BE"/>
    <w:rsid w:val="008A1673"/>
    <w:rsid w:val="008A16EF"/>
    <w:rsid w:val="008A1E65"/>
    <w:rsid w:val="008A1FD7"/>
    <w:rsid w:val="008A250D"/>
    <w:rsid w:val="008A2771"/>
    <w:rsid w:val="008A2DAD"/>
    <w:rsid w:val="008A353D"/>
    <w:rsid w:val="008A37CA"/>
    <w:rsid w:val="008A3BDE"/>
    <w:rsid w:val="008A4B19"/>
    <w:rsid w:val="008A4C35"/>
    <w:rsid w:val="008A50C8"/>
    <w:rsid w:val="008A51DB"/>
    <w:rsid w:val="008A52F5"/>
    <w:rsid w:val="008A551D"/>
    <w:rsid w:val="008A5912"/>
    <w:rsid w:val="008A5ADD"/>
    <w:rsid w:val="008A6969"/>
    <w:rsid w:val="008A69BF"/>
    <w:rsid w:val="008A6BB1"/>
    <w:rsid w:val="008A6C4D"/>
    <w:rsid w:val="008A70F6"/>
    <w:rsid w:val="008A743E"/>
    <w:rsid w:val="008A746E"/>
    <w:rsid w:val="008A7670"/>
    <w:rsid w:val="008A79E9"/>
    <w:rsid w:val="008A7F20"/>
    <w:rsid w:val="008B013D"/>
    <w:rsid w:val="008B046C"/>
    <w:rsid w:val="008B0BD8"/>
    <w:rsid w:val="008B0D10"/>
    <w:rsid w:val="008B0F2B"/>
    <w:rsid w:val="008B1642"/>
    <w:rsid w:val="008B16CD"/>
    <w:rsid w:val="008B1DD9"/>
    <w:rsid w:val="008B20CF"/>
    <w:rsid w:val="008B211E"/>
    <w:rsid w:val="008B220E"/>
    <w:rsid w:val="008B2504"/>
    <w:rsid w:val="008B2533"/>
    <w:rsid w:val="008B284D"/>
    <w:rsid w:val="008B2C5F"/>
    <w:rsid w:val="008B3120"/>
    <w:rsid w:val="008B3727"/>
    <w:rsid w:val="008B3D3E"/>
    <w:rsid w:val="008B4815"/>
    <w:rsid w:val="008B4FD3"/>
    <w:rsid w:val="008B543B"/>
    <w:rsid w:val="008B56B8"/>
    <w:rsid w:val="008B57A0"/>
    <w:rsid w:val="008B5840"/>
    <w:rsid w:val="008B6A99"/>
    <w:rsid w:val="008B6D65"/>
    <w:rsid w:val="008B72AB"/>
    <w:rsid w:val="008B7370"/>
    <w:rsid w:val="008B77B1"/>
    <w:rsid w:val="008C02FD"/>
    <w:rsid w:val="008C06A1"/>
    <w:rsid w:val="008C095A"/>
    <w:rsid w:val="008C0FF2"/>
    <w:rsid w:val="008C17C6"/>
    <w:rsid w:val="008C1801"/>
    <w:rsid w:val="008C1AA0"/>
    <w:rsid w:val="008C29A9"/>
    <w:rsid w:val="008C2DA4"/>
    <w:rsid w:val="008C3509"/>
    <w:rsid w:val="008C483D"/>
    <w:rsid w:val="008C4C73"/>
    <w:rsid w:val="008C4EDA"/>
    <w:rsid w:val="008C5238"/>
    <w:rsid w:val="008C52BE"/>
    <w:rsid w:val="008C5979"/>
    <w:rsid w:val="008C5BF8"/>
    <w:rsid w:val="008C60FA"/>
    <w:rsid w:val="008C6397"/>
    <w:rsid w:val="008C6459"/>
    <w:rsid w:val="008C65DD"/>
    <w:rsid w:val="008C6C96"/>
    <w:rsid w:val="008C6E2E"/>
    <w:rsid w:val="008C6EEF"/>
    <w:rsid w:val="008C71F4"/>
    <w:rsid w:val="008C7A5E"/>
    <w:rsid w:val="008D00EB"/>
    <w:rsid w:val="008D01B5"/>
    <w:rsid w:val="008D0380"/>
    <w:rsid w:val="008D0D2A"/>
    <w:rsid w:val="008D1094"/>
    <w:rsid w:val="008D14CD"/>
    <w:rsid w:val="008D1D55"/>
    <w:rsid w:val="008D1E75"/>
    <w:rsid w:val="008D1F94"/>
    <w:rsid w:val="008D2148"/>
    <w:rsid w:val="008D2326"/>
    <w:rsid w:val="008D2475"/>
    <w:rsid w:val="008D2753"/>
    <w:rsid w:val="008D280A"/>
    <w:rsid w:val="008D301B"/>
    <w:rsid w:val="008D37C7"/>
    <w:rsid w:val="008D38E7"/>
    <w:rsid w:val="008D3F34"/>
    <w:rsid w:val="008D4398"/>
    <w:rsid w:val="008D44FD"/>
    <w:rsid w:val="008D470C"/>
    <w:rsid w:val="008D491E"/>
    <w:rsid w:val="008D4FD4"/>
    <w:rsid w:val="008D54DD"/>
    <w:rsid w:val="008D5835"/>
    <w:rsid w:val="008D595F"/>
    <w:rsid w:val="008D5B85"/>
    <w:rsid w:val="008D6293"/>
    <w:rsid w:val="008D6B64"/>
    <w:rsid w:val="008D6E62"/>
    <w:rsid w:val="008D709D"/>
    <w:rsid w:val="008D7149"/>
    <w:rsid w:val="008D7311"/>
    <w:rsid w:val="008D7C90"/>
    <w:rsid w:val="008E003A"/>
    <w:rsid w:val="008E0861"/>
    <w:rsid w:val="008E1619"/>
    <w:rsid w:val="008E1995"/>
    <w:rsid w:val="008E1E58"/>
    <w:rsid w:val="008E1E9B"/>
    <w:rsid w:val="008E2F0A"/>
    <w:rsid w:val="008E2F71"/>
    <w:rsid w:val="008E30D5"/>
    <w:rsid w:val="008E30EC"/>
    <w:rsid w:val="008E3B14"/>
    <w:rsid w:val="008E408E"/>
    <w:rsid w:val="008E4A4E"/>
    <w:rsid w:val="008E62F7"/>
    <w:rsid w:val="008E6458"/>
    <w:rsid w:val="008E6B16"/>
    <w:rsid w:val="008E72AD"/>
    <w:rsid w:val="008E777E"/>
    <w:rsid w:val="008E7A0D"/>
    <w:rsid w:val="008E7B02"/>
    <w:rsid w:val="008E7C1B"/>
    <w:rsid w:val="008F013A"/>
    <w:rsid w:val="008F05AB"/>
    <w:rsid w:val="008F068B"/>
    <w:rsid w:val="008F0B9B"/>
    <w:rsid w:val="008F1013"/>
    <w:rsid w:val="008F1286"/>
    <w:rsid w:val="008F1849"/>
    <w:rsid w:val="008F2539"/>
    <w:rsid w:val="008F2D3F"/>
    <w:rsid w:val="008F3E26"/>
    <w:rsid w:val="008F4507"/>
    <w:rsid w:val="008F4BE9"/>
    <w:rsid w:val="008F4D40"/>
    <w:rsid w:val="008F5091"/>
    <w:rsid w:val="008F512A"/>
    <w:rsid w:val="008F54A9"/>
    <w:rsid w:val="008F5610"/>
    <w:rsid w:val="008F5778"/>
    <w:rsid w:val="008F58F4"/>
    <w:rsid w:val="008F5A69"/>
    <w:rsid w:val="008F5C9A"/>
    <w:rsid w:val="008F6162"/>
    <w:rsid w:val="008F69EC"/>
    <w:rsid w:val="008F7021"/>
    <w:rsid w:val="008F7332"/>
    <w:rsid w:val="008F7A76"/>
    <w:rsid w:val="008F7E04"/>
    <w:rsid w:val="009001F2"/>
    <w:rsid w:val="0090031F"/>
    <w:rsid w:val="00900B4B"/>
    <w:rsid w:val="009025D5"/>
    <w:rsid w:val="00902BDD"/>
    <w:rsid w:val="00902E76"/>
    <w:rsid w:val="0090306F"/>
    <w:rsid w:val="00903697"/>
    <w:rsid w:val="00903B47"/>
    <w:rsid w:val="00904155"/>
    <w:rsid w:val="00904214"/>
    <w:rsid w:val="009042BB"/>
    <w:rsid w:val="0090485D"/>
    <w:rsid w:val="00904AD2"/>
    <w:rsid w:val="00904EFE"/>
    <w:rsid w:val="009058AC"/>
    <w:rsid w:val="00906298"/>
    <w:rsid w:val="00906737"/>
    <w:rsid w:val="00906C19"/>
    <w:rsid w:val="00907396"/>
    <w:rsid w:val="009075D3"/>
    <w:rsid w:val="00907696"/>
    <w:rsid w:val="0090790C"/>
    <w:rsid w:val="00907ECE"/>
    <w:rsid w:val="0091054A"/>
    <w:rsid w:val="0091065B"/>
    <w:rsid w:val="00910694"/>
    <w:rsid w:val="009108B8"/>
    <w:rsid w:val="00910F89"/>
    <w:rsid w:val="00911965"/>
    <w:rsid w:val="00912434"/>
    <w:rsid w:val="0091298F"/>
    <w:rsid w:val="00912B20"/>
    <w:rsid w:val="009136A8"/>
    <w:rsid w:val="00913A03"/>
    <w:rsid w:val="009147F2"/>
    <w:rsid w:val="00914F7F"/>
    <w:rsid w:val="00915199"/>
    <w:rsid w:val="0091673A"/>
    <w:rsid w:val="00916757"/>
    <w:rsid w:val="009168F0"/>
    <w:rsid w:val="00916A26"/>
    <w:rsid w:val="00916DC8"/>
    <w:rsid w:val="0091761A"/>
    <w:rsid w:val="00917B12"/>
    <w:rsid w:val="0092002A"/>
    <w:rsid w:val="00920A20"/>
    <w:rsid w:val="00921218"/>
    <w:rsid w:val="0092133D"/>
    <w:rsid w:val="009213A5"/>
    <w:rsid w:val="00921617"/>
    <w:rsid w:val="00921681"/>
    <w:rsid w:val="009217DD"/>
    <w:rsid w:val="00921C45"/>
    <w:rsid w:val="00921DDD"/>
    <w:rsid w:val="0092212C"/>
    <w:rsid w:val="00922862"/>
    <w:rsid w:val="00922EA1"/>
    <w:rsid w:val="009232AD"/>
    <w:rsid w:val="009233F0"/>
    <w:rsid w:val="0092349F"/>
    <w:rsid w:val="00923A6B"/>
    <w:rsid w:val="00923E46"/>
    <w:rsid w:val="00924210"/>
    <w:rsid w:val="00924A14"/>
    <w:rsid w:val="00924B6D"/>
    <w:rsid w:val="00925776"/>
    <w:rsid w:val="00926489"/>
    <w:rsid w:val="00926899"/>
    <w:rsid w:val="00926992"/>
    <w:rsid w:val="00926D5E"/>
    <w:rsid w:val="0092766A"/>
    <w:rsid w:val="0092780E"/>
    <w:rsid w:val="00927A0F"/>
    <w:rsid w:val="00927BA0"/>
    <w:rsid w:val="00927C25"/>
    <w:rsid w:val="00927D95"/>
    <w:rsid w:val="0093017F"/>
    <w:rsid w:val="0093024F"/>
    <w:rsid w:val="0093123E"/>
    <w:rsid w:val="00931B19"/>
    <w:rsid w:val="00932299"/>
    <w:rsid w:val="00932A37"/>
    <w:rsid w:val="00932C1A"/>
    <w:rsid w:val="00932CD6"/>
    <w:rsid w:val="0093306F"/>
    <w:rsid w:val="0093325F"/>
    <w:rsid w:val="009333F4"/>
    <w:rsid w:val="00933641"/>
    <w:rsid w:val="009336D8"/>
    <w:rsid w:val="00933F3B"/>
    <w:rsid w:val="0093496A"/>
    <w:rsid w:val="009356AA"/>
    <w:rsid w:val="00935840"/>
    <w:rsid w:val="00935AAE"/>
    <w:rsid w:val="00935E63"/>
    <w:rsid w:val="00936C87"/>
    <w:rsid w:val="00936FC3"/>
    <w:rsid w:val="00937071"/>
    <w:rsid w:val="009373B5"/>
    <w:rsid w:val="0093774B"/>
    <w:rsid w:val="00937C9F"/>
    <w:rsid w:val="0094056E"/>
    <w:rsid w:val="00941326"/>
    <w:rsid w:val="00941C51"/>
    <w:rsid w:val="00941D0E"/>
    <w:rsid w:val="0094212C"/>
    <w:rsid w:val="00942584"/>
    <w:rsid w:val="009429EE"/>
    <w:rsid w:val="00942ECE"/>
    <w:rsid w:val="00943AD5"/>
    <w:rsid w:val="00943DF6"/>
    <w:rsid w:val="00943EA9"/>
    <w:rsid w:val="00943ED2"/>
    <w:rsid w:val="009443E1"/>
    <w:rsid w:val="0094507D"/>
    <w:rsid w:val="009452B2"/>
    <w:rsid w:val="00945A37"/>
    <w:rsid w:val="00946317"/>
    <w:rsid w:val="00946664"/>
    <w:rsid w:val="009479AE"/>
    <w:rsid w:val="00947B32"/>
    <w:rsid w:val="00947E31"/>
    <w:rsid w:val="00947F0B"/>
    <w:rsid w:val="00947FCA"/>
    <w:rsid w:val="009507B4"/>
    <w:rsid w:val="0095086F"/>
    <w:rsid w:val="009509FF"/>
    <w:rsid w:val="00950FE0"/>
    <w:rsid w:val="00951C8C"/>
    <w:rsid w:val="00951D31"/>
    <w:rsid w:val="00952A45"/>
    <w:rsid w:val="00952E47"/>
    <w:rsid w:val="00952EE7"/>
    <w:rsid w:val="00952F93"/>
    <w:rsid w:val="00953849"/>
    <w:rsid w:val="00953905"/>
    <w:rsid w:val="00953E17"/>
    <w:rsid w:val="0095458C"/>
    <w:rsid w:val="00955293"/>
    <w:rsid w:val="00955890"/>
    <w:rsid w:val="00955986"/>
    <w:rsid w:val="00955A78"/>
    <w:rsid w:val="00955A9F"/>
    <w:rsid w:val="00956443"/>
    <w:rsid w:val="00956500"/>
    <w:rsid w:val="0095651C"/>
    <w:rsid w:val="00956DBF"/>
    <w:rsid w:val="00956EFB"/>
    <w:rsid w:val="009572F8"/>
    <w:rsid w:val="0095742C"/>
    <w:rsid w:val="00957568"/>
    <w:rsid w:val="009577C3"/>
    <w:rsid w:val="00957AEC"/>
    <w:rsid w:val="00957C60"/>
    <w:rsid w:val="00961275"/>
    <w:rsid w:val="00961854"/>
    <w:rsid w:val="00961A6D"/>
    <w:rsid w:val="00961D38"/>
    <w:rsid w:val="00963491"/>
    <w:rsid w:val="00963C76"/>
    <w:rsid w:val="00964935"/>
    <w:rsid w:val="00964A51"/>
    <w:rsid w:val="00964EF4"/>
    <w:rsid w:val="0096539B"/>
    <w:rsid w:val="009654EC"/>
    <w:rsid w:val="009663E1"/>
    <w:rsid w:val="009667FC"/>
    <w:rsid w:val="00967114"/>
    <w:rsid w:val="009706A9"/>
    <w:rsid w:val="0097097C"/>
    <w:rsid w:val="00970FB1"/>
    <w:rsid w:val="0097128B"/>
    <w:rsid w:val="00971315"/>
    <w:rsid w:val="009716CB"/>
    <w:rsid w:val="0097212D"/>
    <w:rsid w:val="00972721"/>
    <w:rsid w:val="009727D7"/>
    <w:rsid w:val="009732BC"/>
    <w:rsid w:val="0097339D"/>
    <w:rsid w:val="009736EC"/>
    <w:rsid w:val="00973908"/>
    <w:rsid w:val="00973ADF"/>
    <w:rsid w:val="00973DCB"/>
    <w:rsid w:val="00973FC3"/>
    <w:rsid w:val="0097401D"/>
    <w:rsid w:val="0097478B"/>
    <w:rsid w:val="009749E1"/>
    <w:rsid w:val="00974D09"/>
    <w:rsid w:val="0097568B"/>
    <w:rsid w:val="00975D9F"/>
    <w:rsid w:val="009760AF"/>
    <w:rsid w:val="00976BF1"/>
    <w:rsid w:val="00977EB3"/>
    <w:rsid w:val="00977F7E"/>
    <w:rsid w:val="009801E6"/>
    <w:rsid w:val="009804EC"/>
    <w:rsid w:val="009808F3"/>
    <w:rsid w:val="00980C8E"/>
    <w:rsid w:val="00980C9B"/>
    <w:rsid w:val="00980CDD"/>
    <w:rsid w:val="00981178"/>
    <w:rsid w:val="00981F00"/>
    <w:rsid w:val="00981FC8"/>
    <w:rsid w:val="009821EA"/>
    <w:rsid w:val="009827A7"/>
    <w:rsid w:val="00982D3D"/>
    <w:rsid w:val="00982D72"/>
    <w:rsid w:val="00982D96"/>
    <w:rsid w:val="0098300E"/>
    <w:rsid w:val="009831E0"/>
    <w:rsid w:val="0098341B"/>
    <w:rsid w:val="00983C98"/>
    <w:rsid w:val="00983D63"/>
    <w:rsid w:val="00984713"/>
    <w:rsid w:val="00984722"/>
    <w:rsid w:val="00984AED"/>
    <w:rsid w:val="00984C8C"/>
    <w:rsid w:val="009852EA"/>
    <w:rsid w:val="009854E9"/>
    <w:rsid w:val="0098554D"/>
    <w:rsid w:val="0098555C"/>
    <w:rsid w:val="009856B8"/>
    <w:rsid w:val="009866A9"/>
    <w:rsid w:val="00986717"/>
    <w:rsid w:val="0098696B"/>
    <w:rsid w:val="00986977"/>
    <w:rsid w:val="00986A52"/>
    <w:rsid w:val="00986C2B"/>
    <w:rsid w:val="00986DBC"/>
    <w:rsid w:val="009871E8"/>
    <w:rsid w:val="009872DB"/>
    <w:rsid w:val="0098761A"/>
    <w:rsid w:val="009909F9"/>
    <w:rsid w:val="00990C94"/>
    <w:rsid w:val="00990E4E"/>
    <w:rsid w:val="00990F17"/>
    <w:rsid w:val="009910A7"/>
    <w:rsid w:val="00991129"/>
    <w:rsid w:val="009911EA"/>
    <w:rsid w:val="0099120D"/>
    <w:rsid w:val="00991499"/>
    <w:rsid w:val="009917E4"/>
    <w:rsid w:val="00991A6C"/>
    <w:rsid w:val="00992166"/>
    <w:rsid w:val="00992757"/>
    <w:rsid w:val="0099276F"/>
    <w:rsid w:val="009931A1"/>
    <w:rsid w:val="0099358D"/>
    <w:rsid w:val="00993D6E"/>
    <w:rsid w:val="00993DF7"/>
    <w:rsid w:val="009942CB"/>
    <w:rsid w:val="0099482E"/>
    <w:rsid w:val="0099492F"/>
    <w:rsid w:val="00994A88"/>
    <w:rsid w:val="0099564A"/>
    <w:rsid w:val="00995D1D"/>
    <w:rsid w:val="00995E22"/>
    <w:rsid w:val="00995EF0"/>
    <w:rsid w:val="00995F6F"/>
    <w:rsid w:val="00996660"/>
    <w:rsid w:val="00996725"/>
    <w:rsid w:val="00997018"/>
    <w:rsid w:val="00997492"/>
    <w:rsid w:val="00997D63"/>
    <w:rsid w:val="009A0817"/>
    <w:rsid w:val="009A08F2"/>
    <w:rsid w:val="009A095D"/>
    <w:rsid w:val="009A12F4"/>
    <w:rsid w:val="009A1338"/>
    <w:rsid w:val="009A158C"/>
    <w:rsid w:val="009A1794"/>
    <w:rsid w:val="009A19E3"/>
    <w:rsid w:val="009A19F8"/>
    <w:rsid w:val="009A208E"/>
    <w:rsid w:val="009A2979"/>
    <w:rsid w:val="009A2B0D"/>
    <w:rsid w:val="009A2F87"/>
    <w:rsid w:val="009A379F"/>
    <w:rsid w:val="009A3C16"/>
    <w:rsid w:val="009A3CB0"/>
    <w:rsid w:val="009A3EEE"/>
    <w:rsid w:val="009A40B9"/>
    <w:rsid w:val="009A4579"/>
    <w:rsid w:val="009A496C"/>
    <w:rsid w:val="009A4BAC"/>
    <w:rsid w:val="009A5020"/>
    <w:rsid w:val="009A51A0"/>
    <w:rsid w:val="009A5201"/>
    <w:rsid w:val="009A5570"/>
    <w:rsid w:val="009A5A7E"/>
    <w:rsid w:val="009A63AB"/>
    <w:rsid w:val="009A6654"/>
    <w:rsid w:val="009A68F7"/>
    <w:rsid w:val="009A6DF0"/>
    <w:rsid w:val="009A6E07"/>
    <w:rsid w:val="009A7209"/>
    <w:rsid w:val="009A72E3"/>
    <w:rsid w:val="009A7CF8"/>
    <w:rsid w:val="009B0047"/>
    <w:rsid w:val="009B04E5"/>
    <w:rsid w:val="009B079F"/>
    <w:rsid w:val="009B08B3"/>
    <w:rsid w:val="009B08DE"/>
    <w:rsid w:val="009B0D5C"/>
    <w:rsid w:val="009B0EE3"/>
    <w:rsid w:val="009B0FC7"/>
    <w:rsid w:val="009B102E"/>
    <w:rsid w:val="009B199E"/>
    <w:rsid w:val="009B1A4D"/>
    <w:rsid w:val="009B2059"/>
    <w:rsid w:val="009B297A"/>
    <w:rsid w:val="009B3736"/>
    <w:rsid w:val="009B37F9"/>
    <w:rsid w:val="009B385E"/>
    <w:rsid w:val="009B392B"/>
    <w:rsid w:val="009B4388"/>
    <w:rsid w:val="009B4395"/>
    <w:rsid w:val="009B4AE7"/>
    <w:rsid w:val="009B4B14"/>
    <w:rsid w:val="009B4B45"/>
    <w:rsid w:val="009B4E1D"/>
    <w:rsid w:val="009B55A4"/>
    <w:rsid w:val="009B59AF"/>
    <w:rsid w:val="009B59F4"/>
    <w:rsid w:val="009B5A4C"/>
    <w:rsid w:val="009B61F2"/>
    <w:rsid w:val="009B649B"/>
    <w:rsid w:val="009B65D5"/>
    <w:rsid w:val="009B6820"/>
    <w:rsid w:val="009B699B"/>
    <w:rsid w:val="009B699F"/>
    <w:rsid w:val="009B6A69"/>
    <w:rsid w:val="009B7932"/>
    <w:rsid w:val="009C1048"/>
    <w:rsid w:val="009C14E6"/>
    <w:rsid w:val="009C1767"/>
    <w:rsid w:val="009C1A6B"/>
    <w:rsid w:val="009C1C9E"/>
    <w:rsid w:val="009C2402"/>
    <w:rsid w:val="009C24BB"/>
    <w:rsid w:val="009C3199"/>
    <w:rsid w:val="009C336E"/>
    <w:rsid w:val="009C3C02"/>
    <w:rsid w:val="009C43DE"/>
    <w:rsid w:val="009C45FB"/>
    <w:rsid w:val="009C49BA"/>
    <w:rsid w:val="009C536D"/>
    <w:rsid w:val="009C6489"/>
    <w:rsid w:val="009C6D2A"/>
    <w:rsid w:val="009C6D78"/>
    <w:rsid w:val="009C6DEF"/>
    <w:rsid w:val="009C722E"/>
    <w:rsid w:val="009C75E9"/>
    <w:rsid w:val="009C78A7"/>
    <w:rsid w:val="009C7A6E"/>
    <w:rsid w:val="009C7E5A"/>
    <w:rsid w:val="009C7E8E"/>
    <w:rsid w:val="009D0E58"/>
    <w:rsid w:val="009D1264"/>
    <w:rsid w:val="009D16F4"/>
    <w:rsid w:val="009D1B4A"/>
    <w:rsid w:val="009D1B6C"/>
    <w:rsid w:val="009D3270"/>
    <w:rsid w:val="009D336B"/>
    <w:rsid w:val="009D35A4"/>
    <w:rsid w:val="009D36B0"/>
    <w:rsid w:val="009D391E"/>
    <w:rsid w:val="009D39B8"/>
    <w:rsid w:val="009D3A7D"/>
    <w:rsid w:val="009D3AFD"/>
    <w:rsid w:val="009D3BE8"/>
    <w:rsid w:val="009D3DD7"/>
    <w:rsid w:val="009D3F7A"/>
    <w:rsid w:val="009D53DD"/>
    <w:rsid w:val="009D5A22"/>
    <w:rsid w:val="009D5C3D"/>
    <w:rsid w:val="009D5C81"/>
    <w:rsid w:val="009D6316"/>
    <w:rsid w:val="009D63C7"/>
    <w:rsid w:val="009D64A3"/>
    <w:rsid w:val="009D76BE"/>
    <w:rsid w:val="009D7909"/>
    <w:rsid w:val="009D7BD7"/>
    <w:rsid w:val="009E00C1"/>
    <w:rsid w:val="009E025C"/>
    <w:rsid w:val="009E0492"/>
    <w:rsid w:val="009E090F"/>
    <w:rsid w:val="009E1642"/>
    <w:rsid w:val="009E1C49"/>
    <w:rsid w:val="009E1F7C"/>
    <w:rsid w:val="009E23CD"/>
    <w:rsid w:val="009E24AE"/>
    <w:rsid w:val="009E2835"/>
    <w:rsid w:val="009E2AC7"/>
    <w:rsid w:val="009E2BC1"/>
    <w:rsid w:val="009E347C"/>
    <w:rsid w:val="009E423B"/>
    <w:rsid w:val="009E42CA"/>
    <w:rsid w:val="009E47D8"/>
    <w:rsid w:val="009E5B57"/>
    <w:rsid w:val="009E5F75"/>
    <w:rsid w:val="009E6090"/>
    <w:rsid w:val="009E62E8"/>
    <w:rsid w:val="009E67D5"/>
    <w:rsid w:val="009E69DA"/>
    <w:rsid w:val="009E6CAB"/>
    <w:rsid w:val="009E70E5"/>
    <w:rsid w:val="009E7E22"/>
    <w:rsid w:val="009F1797"/>
    <w:rsid w:val="009F1915"/>
    <w:rsid w:val="009F1992"/>
    <w:rsid w:val="009F2033"/>
    <w:rsid w:val="009F3736"/>
    <w:rsid w:val="009F3D3C"/>
    <w:rsid w:val="009F47DF"/>
    <w:rsid w:val="009F49C6"/>
    <w:rsid w:val="009F4C62"/>
    <w:rsid w:val="009F5253"/>
    <w:rsid w:val="009F57C5"/>
    <w:rsid w:val="009F62C5"/>
    <w:rsid w:val="009F63E9"/>
    <w:rsid w:val="009F6B55"/>
    <w:rsid w:val="009F6C4D"/>
    <w:rsid w:val="009F730D"/>
    <w:rsid w:val="009F73BA"/>
    <w:rsid w:val="009F75FB"/>
    <w:rsid w:val="009F7C8E"/>
    <w:rsid w:val="009F7CB3"/>
    <w:rsid w:val="00A0053F"/>
    <w:rsid w:val="00A0058C"/>
    <w:rsid w:val="00A00746"/>
    <w:rsid w:val="00A014B3"/>
    <w:rsid w:val="00A016A0"/>
    <w:rsid w:val="00A01B1B"/>
    <w:rsid w:val="00A02855"/>
    <w:rsid w:val="00A02978"/>
    <w:rsid w:val="00A02F01"/>
    <w:rsid w:val="00A03149"/>
    <w:rsid w:val="00A03698"/>
    <w:rsid w:val="00A04039"/>
    <w:rsid w:val="00A041B9"/>
    <w:rsid w:val="00A04796"/>
    <w:rsid w:val="00A0581C"/>
    <w:rsid w:val="00A05869"/>
    <w:rsid w:val="00A06ADD"/>
    <w:rsid w:val="00A06C61"/>
    <w:rsid w:val="00A06F8B"/>
    <w:rsid w:val="00A07696"/>
    <w:rsid w:val="00A07AE0"/>
    <w:rsid w:val="00A07C80"/>
    <w:rsid w:val="00A07D5E"/>
    <w:rsid w:val="00A07ED0"/>
    <w:rsid w:val="00A10629"/>
    <w:rsid w:val="00A11044"/>
    <w:rsid w:val="00A11B71"/>
    <w:rsid w:val="00A11F0C"/>
    <w:rsid w:val="00A126C1"/>
    <w:rsid w:val="00A12779"/>
    <w:rsid w:val="00A12B83"/>
    <w:rsid w:val="00A1355E"/>
    <w:rsid w:val="00A13C4C"/>
    <w:rsid w:val="00A14402"/>
    <w:rsid w:val="00A154B8"/>
    <w:rsid w:val="00A15B29"/>
    <w:rsid w:val="00A15B40"/>
    <w:rsid w:val="00A15FEE"/>
    <w:rsid w:val="00A16333"/>
    <w:rsid w:val="00A16435"/>
    <w:rsid w:val="00A16463"/>
    <w:rsid w:val="00A1684F"/>
    <w:rsid w:val="00A16B4D"/>
    <w:rsid w:val="00A16CC2"/>
    <w:rsid w:val="00A16F88"/>
    <w:rsid w:val="00A16FBA"/>
    <w:rsid w:val="00A171C6"/>
    <w:rsid w:val="00A17682"/>
    <w:rsid w:val="00A17A06"/>
    <w:rsid w:val="00A17B20"/>
    <w:rsid w:val="00A17F17"/>
    <w:rsid w:val="00A17FAC"/>
    <w:rsid w:val="00A2175D"/>
    <w:rsid w:val="00A217FD"/>
    <w:rsid w:val="00A22044"/>
    <w:rsid w:val="00A22624"/>
    <w:rsid w:val="00A23BE3"/>
    <w:rsid w:val="00A23F86"/>
    <w:rsid w:val="00A24062"/>
    <w:rsid w:val="00A240FB"/>
    <w:rsid w:val="00A241BE"/>
    <w:rsid w:val="00A247E6"/>
    <w:rsid w:val="00A24804"/>
    <w:rsid w:val="00A251AE"/>
    <w:rsid w:val="00A251B3"/>
    <w:rsid w:val="00A251DA"/>
    <w:rsid w:val="00A258F1"/>
    <w:rsid w:val="00A2592E"/>
    <w:rsid w:val="00A25B1F"/>
    <w:rsid w:val="00A25EA0"/>
    <w:rsid w:val="00A25F3E"/>
    <w:rsid w:val="00A266AA"/>
    <w:rsid w:val="00A2688B"/>
    <w:rsid w:val="00A26B70"/>
    <w:rsid w:val="00A26EDA"/>
    <w:rsid w:val="00A26F72"/>
    <w:rsid w:val="00A271F7"/>
    <w:rsid w:val="00A272B7"/>
    <w:rsid w:val="00A27587"/>
    <w:rsid w:val="00A27727"/>
    <w:rsid w:val="00A27976"/>
    <w:rsid w:val="00A27DB0"/>
    <w:rsid w:val="00A27E7B"/>
    <w:rsid w:val="00A27EFC"/>
    <w:rsid w:val="00A30844"/>
    <w:rsid w:val="00A30892"/>
    <w:rsid w:val="00A30E04"/>
    <w:rsid w:val="00A31144"/>
    <w:rsid w:val="00A31859"/>
    <w:rsid w:val="00A31D42"/>
    <w:rsid w:val="00A321B1"/>
    <w:rsid w:val="00A326A8"/>
    <w:rsid w:val="00A32838"/>
    <w:rsid w:val="00A329A1"/>
    <w:rsid w:val="00A32A72"/>
    <w:rsid w:val="00A32DD4"/>
    <w:rsid w:val="00A33729"/>
    <w:rsid w:val="00A339DE"/>
    <w:rsid w:val="00A33A94"/>
    <w:rsid w:val="00A344D6"/>
    <w:rsid w:val="00A34688"/>
    <w:rsid w:val="00A34CAE"/>
    <w:rsid w:val="00A34E89"/>
    <w:rsid w:val="00A35D2B"/>
    <w:rsid w:val="00A35FFE"/>
    <w:rsid w:val="00A364B7"/>
    <w:rsid w:val="00A36905"/>
    <w:rsid w:val="00A3734C"/>
    <w:rsid w:val="00A37A19"/>
    <w:rsid w:val="00A37A4F"/>
    <w:rsid w:val="00A40097"/>
    <w:rsid w:val="00A40A0F"/>
    <w:rsid w:val="00A414E2"/>
    <w:rsid w:val="00A41630"/>
    <w:rsid w:val="00A41A4E"/>
    <w:rsid w:val="00A4216A"/>
    <w:rsid w:val="00A4247C"/>
    <w:rsid w:val="00A42513"/>
    <w:rsid w:val="00A425A0"/>
    <w:rsid w:val="00A426EA"/>
    <w:rsid w:val="00A42B34"/>
    <w:rsid w:val="00A42B4F"/>
    <w:rsid w:val="00A435F9"/>
    <w:rsid w:val="00A43951"/>
    <w:rsid w:val="00A44227"/>
    <w:rsid w:val="00A44BFA"/>
    <w:rsid w:val="00A452A3"/>
    <w:rsid w:val="00A45433"/>
    <w:rsid w:val="00A4552D"/>
    <w:rsid w:val="00A458E0"/>
    <w:rsid w:val="00A45BA6"/>
    <w:rsid w:val="00A460C9"/>
    <w:rsid w:val="00A46D43"/>
    <w:rsid w:val="00A46E29"/>
    <w:rsid w:val="00A4780E"/>
    <w:rsid w:val="00A479D6"/>
    <w:rsid w:val="00A47A27"/>
    <w:rsid w:val="00A47D77"/>
    <w:rsid w:val="00A51A69"/>
    <w:rsid w:val="00A51AB1"/>
    <w:rsid w:val="00A52002"/>
    <w:rsid w:val="00A5271A"/>
    <w:rsid w:val="00A52887"/>
    <w:rsid w:val="00A529ED"/>
    <w:rsid w:val="00A5301D"/>
    <w:rsid w:val="00A53131"/>
    <w:rsid w:val="00A5338C"/>
    <w:rsid w:val="00A537C0"/>
    <w:rsid w:val="00A54102"/>
    <w:rsid w:val="00A54233"/>
    <w:rsid w:val="00A5496E"/>
    <w:rsid w:val="00A549A8"/>
    <w:rsid w:val="00A54D68"/>
    <w:rsid w:val="00A54D8C"/>
    <w:rsid w:val="00A55215"/>
    <w:rsid w:val="00A553C5"/>
    <w:rsid w:val="00A5548C"/>
    <w:rsid w:val="00A570C1"/>
    <w:rsid w:val="00A5779C"/>
    <w:rsid w:val="00A61083"/>
    <w:rsid w:val="00A61740"/>
    <w:rsid w:val="00A61927"/>
    <w:rsid w:val="00A61D43"/>
    <w:rsid w:val="00A62597"/>
    <w:rsid w:val="00A626AA"/>
    <w:rsid w:val="00A62DD6"/>
    <w:rsid w:val="00A63483"/>
    <w:rsid w:val="00A64056"/>
    <w:rsid w:val="00A650BA"/>
    <w:rsid w:val="00A65174"/>
    <w:rsid w:val="00A65503"/>
    <w:rsid w:val="00A656D1"/>
    <w:rsid w:val="00A659C9"/>
    <w:rsid w:val="00A66B64"/>
    <w:rsid w:val="00A676B0"/>
    <w:rsid w:val="00A67E97"/>
    <w:rsid w:val="00A705BA"/>
    <w:rsid w:val="00A7070E"/>
    <w:rsid w:val="00A7093E"/>
    <w:rsid w:val="00A70E57"/>
    <w:rsid w:val="00A713AB"/>
    <w:rsid w:val="00A71465"/>
    <w:rsid w:val="00A72457"/>
    <w:rsid w:val="00A7392A"/>
    <w:rsid w:val="00A73CAE"/>
    <w:rsid w:val="00A74725"/>
    <w:rsid w:val="00A749F7"/>
    <w:rsid w:val="00A74FC0"/>
    <w:rsid w:val="00A75019"/>
    <w:rsid w:val="00A752D3"/>
    <w:rsid w:val="00A75E8C"/>
    <w:rsid w:val="00A75E9F"/>
    <w:rsid w:val="00A766EC"/>
    <w:rsid w:val="00A77654"/>
    <w:rsid w:val="00A776A6"/>
    <w:rsid w:val="00A77985"/>
    <w:rsid w:val="00A77BF0"/>
    <w:rsid w:val="00A77C75"/>
    <w:rsid w:val="00A8069D"/>
    <w:rsid w:val="00A80A3A"/>
    <w:rsid w:val="00A811DF"/>
    <w:rsid w:val="00A8126C"/>
    <w:rsid w:val="00A812E4"/>
    <w:rsid w:val="00A81F13"/>
    <w:rsid w:val="00A8229D"/>
    <w:rsid w:val="00A82304"/>
    <w:rsid w:val="00A82500"/>
    <w:rsid w:val="00A82513"/>
    <w:rsid w:val="00A82CC9"/>
    <w:rsid w:val="00A82F67"/>
    <w:rsid w:val="00A8306D"/>
    <w:rsid w:val="00A830F2"/>
    <w:rsid w:val="00A831C5"/>
    <w:rsid w:val="00A836A5"/>
    <w:rsid w:val="00A836AB"/>
    <w:rsid w:val="00A83754"/>
    <w:rsid w:val="00A83897"/>
    <w:rsid w:val="00A83926"/>
    <w:rsid w:val="00A83EDE"/>
    <w:rsid w:val="00A84DAB"/>
    <w:rsid w:val="00A8562E"/>
    <w:rsid w:val="00A8576F"/>
    <w:rsid w:val="00A85B91"/>
    <w:rsid w:val="00A85C12"/>
    <w:rsid w:val="00A85C19"/>
    <w:rsid w:val="00A85D61"/>
    <w:rsid w:val="00A86081"/>
    <w:rsid w:val="00A864D1"/>
    <w:rsid w:val="00A867E1"/>
    <w:rsid w:val="00A86EE4"/>
    <w:rsid w:val="00A871E8"/>
    <w:rsid w:val="00A87339"/>
    <w:rsid w:val="00A90433"/>
    <w:rsid w:val="00A906F0"/>
    <w:rsid w:val="00A90CD8"/>
    <w:rsid w:val="00A91067"/>
    <w:rsid w:val="00A9122B"/>
    <w:rsid w:val="00A913B3"/>
    <w:rsid w:val="00A916F1"/>
    <w:rsid w:val="00A91804"/>
    <w:rsid w:val="00A91F80"/>
    <w:rsid w:val="00A92458"/>
    <w:rsid w:val="00A92602"/>
    <w:rsid w:val="00A926F0"/>
    <w:rsid w:val="00A92A56"/>
    <w:rsid w:val="00A93B02"/>
    <w:rsid w:val="00A940DA"/>
    <w:rsid w:val="00A94286"/>
    <w:rsid w:val="00A946F5"/>
    <w:rsid w:val="00A94D04"/>
    <w:rsid w:val="00A95363"/>
    <w:rsid w:val="00A956F9"/>
    <w:rsid w:val="00A95762"/>
    <w:rsid w:val="00A96293"/>
    <w:rsid w:val="00A968D3"/>
    <w:rsid w:val="00A96A07"/>
    <w:rsid w:val="00A96AC4"/>
    <w:rsid w:val="00A96D4B"/>
    <w:rsid w:val="00A96EE3"/>
    <w:rsid w:val="00A971C0"/>
    <w:rsid w:val="00A975CB"/>
    <w:rsid w:val="00A97907"/>
    <w:rsid w:val="00A97BAA"/>
    <w:rsid w:val="00A97C1F"/>
    <w:rsid w:val="00AA02CE"/>
    <w:rsid w:val="00AA0690"/>
    <w:rsid w:val="00AA080E"/>
    <w:rsid w:val="00AA185C"/>
    <w:rsid w:val="00AA21E4"/>
    <w:rsid w:val="00AA267C"/>
    <w:rsid w:val="00AA2F91"/>
    <w:rsid w:val="00AA3015"/>
    <w:rsid w:val="00AA32EB"/>
    <w:rsid w:val="00AA38D6"/>
    <w:rsid w:val="00AA416B"/>
    <w:rsid w:val="00AA455C"/>
    <w:rsid w:val="00AA4A25"/>
    <w:rsid w:val="00AA4FAB"/>
    <w:rsid w:val="00AA5559"/>
    <w:rsid w:val="00AA5EB4"/>
    <w:rsid w:val="00AA6175"/>
    <w:rsid w:val="00AA628A"/>
    <w:rsid w:val="00AA6A57"/>
    <w:rsid w:val="00AA6BEC"/>
    <w:rsid w:val="00AA7360"/>
    <w:rsid w:val="00AA737E"/>
    <w:rsid w:val="00AA7C9A"/>
    <w:rsid w:val="00AA7E0B"/>
    <w:rsid w:val="00AB00EF"/>
    <w:rsid w:val="00AB093B"/>
    <w:rsid w:val="00AB12CA"/>
    <w:rsid w:val="00AB1BBF"/>
    <w:rsid w:val="00AB27FC"/>
    <w:rsid w:val="00AB3675"/>
    <w:rsid w:val="00AB3911"/>
    <w:rsid w:val="00AB3B94"/>
    <w:rsid w:val="00AB3BE7"/>
    <w:rsid w:val="00AB406B"/>
    <w:rsid w:val="00AB4698"/>
    <w:rsid w:val="00AB4A8E"/>
    <w:rsid w:val="00AB4BF5"/>
    <w:rsid w:val="00AB4F64"/>
    <w:rsid w:val="00AB59F7"/>
    <w:rsid w:val="00AB5F90"/>
    <w:rsid w:val="00AB6210"/>
    <w:rsid w:val="00AB695C"/>
    <w:rsid w:val="00AB6B9A"/>
    <w:rsid w:val="00AB78D3"/>
    <w:rsid w:val="00AB79E5"/>
    <w:rsid w:val="00AC0086"/>
    <w:rsid w:val="00AC02D8"/>
    <w:rsid w:val="00AC08B4"/>
    <w:rsid w:val="00AC0DB1"/>
    <w:rsid w:val="00AC1B48"/>
    <w:rsid w:val="00AC1C32"/>
    <w:rsid w:val="00AC2481"/>
    <w:rsid w:val="00AC24A9"/>
    <w:rsid w:val="00AC2511"/>
    <w:rsid w:val="00AC2B17"/>
    <w:rsid w:val="00AC2D95"/>
    <w:rsid w:val="00AC359C"/>
    <w:rsid w:val="00AC36C5"/>
    <w:rsid w:val="00AC3DD0"/>
    <w:rsid w:val="00AC4451"/>
    <w:rsid w:val="00AC451E"/>
    <w:rsid w:val="00AC48CA"/>
    <w:rsid w:val="00AC5081"/>
    <w:rsid w:val="00AC577B"/>
    <w:rsid w:val="00AC6926"/>
    <w:rsid w:val="00AC6996"/>
    <w:rsid w:val="00AC7056"/>
    <w:rsid w:val="00AC760A"/>
    <w:rsid w:val="00AC7EDF"/>
    <w:rsid w:val="00AD010A"/>
    <w:rsid w:val="00AD0169"/>
    <w:rsid w:val="00AD03CB"/>
    <w:rsid w:val="00AD064E"/>
    <w:rsid w:val="00AD079E"/>
    <w:rsid w:val="00AD12AF"/>
    <w:rsid w:val="00AD14B6"/>
    <w:rsid w:val="00AD150C"/>
    <w:rsid w:val="00AD1972"/>
    <w:rsid w:val="00AD1AF1"/>
    <w:rsid w:val="00AD1D78"/>
    <w:rsid w:val="00AD2049"/>
    <w:rsid w:val="00AD323B"/>
    <w:rsid w:val="00AD3506"/>
    <w:rsid w:val="00AD3AA1"/>
    <w:rsid w:val="00AD3ADC"/>
    <w:rsid w:val="00AD3E6D"/>
    <w:rsid w:val="00AD40D0"/>
    <w:rsid w:val="00AD45CE"/>
    <w:rsid w:val="00AD480F"/>
    <w:rsid w:val="00AD4C89"/>
    <w:rsid w:val="00AD522E"/>
    <w:rsid w:val="00AD5D0A"/>
    <w:rsid w:val="00AD5DAD"/>
    <w:rsid w:val="00AD5F8A"/>
    <w:rsid w:val="00AD66FE"/>
    <w:rsid w:val="00AD68F5"/>
    <w:rsid w:val="00AD6A95"/>
    <w:rsid w:val="00AD6BEA"/>
    <w:rsid w:val="00AD6C10"/>
    <w:rsid w:val="00AD7A42"/>
    <w:rsid w:val="00AD7DE4"/>
    <w:rsid w:val="00AD7F05"/>
    <w:rsid w:val="00AE017B"/>
    <w:rsid w:val="00AE0207"/>
    <w:rsid w:val="00AE0B1D"/>
    <w:rsid w:val="00AE14D3"/>
    <w:rsid w:val="00AE1BA6"/>
    <w:rsid w:val="00AE1E9D"/>
    <w:rsid w:val="00AE1EF0"/>
    <w:rsid w:val="00AE24BD"/>
    <w:rsid w:val="00AE29B7"/>
    <w:rsid w:val="00AE2DBD"/>
    <w:rsid w:val="00AE2E5E"/>
    <w:rsid w:val="00AE361C"/>
    <w:rsid w:val="00AE380A"/>
    <w:rsid w:val="00AE4187"/>
    <w:rsid w:val="00AE42AF"/>
    <w:rsid w:val="00AE551B"/>
    <w:rsid w:val="00AE5F59"/>
    <w:rsid w:val="00AE66BC"/>
    <w:rsid w:val="00AE6830"/>
    <w:rsid w:val="00AE6C4B"/>
    <w:rsid w:val="00AE6CDE"/>
    <w:rsid w:val="00AE7421"/>
    <w:rsid w:val="00AE749A"/>
    <w:rsid w:val="00AE755E"/>
    <w:rsid w:val="00AE75DA"/>
    <w:rsid w:val="00AE7DA7"/>
    <w:rsid w:val="00AF0089"/>
    <w:rsid w:val="00AF0325"/>
    <w:rsid w:val="00AF037E"/>
    <w:rsid w:val="00AF0614"/>
    <w:rsid w:val="00AF0713"/>
    <w:rsid w:val="00AF09D2"/>
    <w:rsid w:val="00AF1C7E"/>
    <w:rsid w:val="00AF1F63"/>
    <w:rsid w:val="00AF2245"/>
    <w:rsid w:val="00AF2DC5"/>
    <w:rsid w:val="00AF3628"/>
    <w:rsid w:val="00AF3C05"/>
    <w:rsid w:val="00AF47B7"/>
    <w:rsid w:val="00AF4A5C"/>
    <w:rsid w:val="00AF4ECC"/>
    <w:rsid w:val="00AF55F6"/>
    <w:rsid w:val="00AF6751"/>
    <w:rsid w:val="00AF6B70"/>
    <w:rsid w:val="00AF751D"/>
    <w:rsid w:val="00AF75F4"/>
    <w:rsid w:val="00AF79DE"/>
    <w:rsid w:val="00AF7D51"/>
    <w:rsid w:val="00AF7DEA"/>
    <w:rsid w:val="00AF7F6A"/>
    <w:rsid w:val="00B001E7"/>
    <w:rsid w:val="00B004B9"/>
    <w:rsid w:val="00B00838"/>
    <w:rsid w:val="00B00C3E"/>
    <w:rsid w:val="00B01F0A"/>
    <w:rsid w:val="00B0224F"/>
    <w:rsid w:val="00B0226A"/>
    <w:rsid w:val="00B02275"/>
    <w:rsid w:val="00B024D7"/>
    <w:rsid w:val="00B02606"/>
    <w:rsid w:val="00B02A5C"/>
    <w:rsid w:val="00B03222"/>
    <w:rsid w:val="00B0333C"/>
    <w:rsid w:val="00B0394A"/>
    <w:rsid w:val="00B0441F"/>
    <w:rsid w:val="00B0492E"/>
    <w:rsid w:val="00B04E49"/>
    <w:rsid w:val="00B04E6B"/>
    <w:rsid w:val="00B05482"/>
    <w:rsid w:val="00B055A6"/>
    <w:rsid w:val="00B05886"/>
    <w:rsid w:val="00B05B84"/>
    <w:rsid w:val="00B066C4"/>
    <w:rsid w:val="00B06794"/>
    <w:rsid w:val="00B067B3"/>
    <w:rsid w:val="00B067D1"/>
    <w:rsid w:val="00B068C4"/>
    <w:rsid w:val="00B06A4B"/>
    <w:rsid w:val="00B07031"/>
    <w:rsid w:val="00B07332"/>
    <w:rsid w:val="00B073AA"/>
    <w:rsid w:val="00B07741"/>
    <w:rsid w:val="00B07E0E"/>
    <w:rsid w:val="00B11458"/>
    <w:rsid w:val="00B11927"/>
    <w:rsid w:val="00B11F58"/>
    <w:rsid w:val="00B1254E"/>
    <w:rsid w:val="00B12854"/>
    <w:rsid w:val="00B13388"/>
    <w:rsid w:val="00B136E2"/>
    <w:rsid w:val="00B13AA9"/>
    <w:rsid w:val="00B13C43"/>
    <w:rsid w:val="00B13DB4"/>
    <w:rsid w:val="00B14273"/>
    <w:rsid w:val="00B14BA0"/>
    <w:rsid w:val="00B14BFA"/>
    <w:rsid w:val="00B15173"/>
    <w:rsid w:val="00B15227"/>
    <w:rsid w:val="00B1599C"/>
    <w:rsid w:val="00B1703E"/>
    <w:rsid w:val="00B170DA"/>
    <w:rsid w:val="00B17193"/>
    <w:rsid w:val="00B17DD9"/>
    <w:rsid w:val="00B20303"/>
    <w:rsid w:val="00B2038A"/>
    <w:rsid w:val="00B20771"/>
    <w:rsid w:val="00B20955"/>
    <w:rsid w:val="00B20CAE"/>
    <w:rsid w:val="00B20FA3"/>
    <w:rsid w:val="00B212F5"/>
    <w:rsid w:val="00B21E44"/>
    <w:rsid w:val="00B21EFA"/>
    <w:rsid w:val="00B221AE"/>
    <w:rsid w:val="00B22338"/>
    <w:rsid w:val="00B22765"/>
    <w:rsid w:val="00B22BDE"/>
    <w:rsid w:val="00B22F00"/>
    <w:rsid w:val="00B22FBE"/>
    <w:rsid w:val="00B23444"/>
    <w:rsid w:val="00B237BC"/>
    <w:rsid w:val="00B2389B"/>
    <w:rsid w:val="00B23B5F"/>
    <w:rsid w:val="00B23FE2"/>
    <w:rsid w:val="00B247AF"/>
    <w:rsid w:val="00B24A7F"/>
    <w:rsid w:val="00B259E4"/>
    <w:rsid w:val="00B26314"/>
    <w:rsid w:val="00B2673D"/>
    <w:rsid w:val="00B2687F"/>
    <w:rsid w:val="00B268CF"/>
    <w:rsid w:val="00B269E2"/>
    <w:rsid w:val="00B26D37"/>
    <w:rsid w:val="00B26E7B"/>
    <w:rsid w:val="00B27534"/>
    <w:rsid w:val="00B278D4"/>
    <w:rsid w:val="00B27CD2"/>
    <w:rsid w:val="00B27F68"/>
    <w:rsid w:val="00B301C6"/>
    <w:rsid w:val="00B30585"/>
    <w:rsid w:val="00B30C5A"/>
    <w:rsid w:val="00B30D60"/>
    <w:rsid w:val="00B31268"/>
    <w:rsid w:val="00B31571"/>
    <w:rsid w:val="00B3188C"/>
    <w:rsid w:val="00B32959"/>
    <w:rsid w:val="00B32E3B"/>
    <w:rsid w:val="00B33562"/>
    <w:rsid w:val="00B335ED"/>
    <w:rsid w:val="00B33724"/>
    <w:rsid w:val="00B340FF"/>
    <w:rsid w:val="00B34591"/>
    <w:rsid w:val="00B34600"/>
    <w:rsid w:val="00B34BCC"/>
    <w:rsid w:val="00B34CBE"/>
    <w:rsid w:val="00B350B9"/>
    <w:rsid w:val="00B363DC"/>
    <w:rsid w:val="00B363F7"/>
    <w:rsid w:val="00B36649"/>
    <w:rsid w:val="00B367DC"/>
    <w:rsid w:val="00B36DC4"/>
    <w:rsid w:val="00B36E5D"/>
    <w:rsid w:val="00B36FF2"/>
    <w:rsid w:val="00B370D7"/>
    <w:rsid w:val="00B37740"/>
    <w:rsid w:val="00B37C17"/>
    <w:rsid w:val="00B37DB6"/>
    <w:rsid w:val="00B37F2D"/>
    <w:rsid w:val="00B40607"/>
    <w:rsid w:val="00B40632"/>
    <w:rsid w:val="00B41112"/>
    <w:rsid w:val="00B41A32"/>
    <w:rsid w:val="00B41B33"/>
    <w:rsid w:val="00B42048"/>
    <w:rsid w:val="00B426FA"/>
    <w:rsid w:val="00B43251"/>
    <w:rsid w:val="00B43561"/>
    <w:rsid w:val="00B437C4"/>
    <w:rsid w:val="00B44333"/>
    <w:rsid w:val="00B44455"/>
    <w:rsid w:val="00B4470E"/>
    <w:rsid w:val="00B447A3"/>
    <w:rsid w:val="00B45026"/>
    <w:rsid w:val="00B451B3"/>
    <w:rsid w:val="00B455AC"/>
    <w:rsid w:val="00B45ED0"/>
    <w:rsid w:val="00B462BC"/>
    <w:rsid w:val="00B46562"/>
    <w:rsid w:val="00B468E8"/>
    <w:rsid w:val="00B46968"/>
    <w:rsid w:val="00B46C52"/>
    <w:rsid w:val="00B4791B"/>
    <w:rsid w:val="00B47954"/>
    <w:rsid w:val="00B47AE7"/>
    <w:rsid w:val="00B47C87"/>
    <w:rsid w:val="00B50211"/>
    <w:rsid w:val="00B50384"/>
    <w:rsid w:val="00B50487"/>
    <w:rsid w:val="00B506A1"/>
    <w:rsid w:val="00B5070D"/>
    <w:rsid w:val="00B50B9C"/>
    <w:rsid w:val="00B51765"/>
    <w:rsid w:val="00B519E5"/>
    <w:rsid w:val="00B52B4A"/>
    <w:rsid w:val="00B52FDE"/>
    <w:rsid w:val="00B53592"/>
    <w:rsid w:val="00B53878"/>
    <w:rsid w:val="00B53A5F"/>
    <w:rsid w:val="00B53D24"/>
    <w:rsid w:val="00B557C3"/>
    <w:rsid w:val="00B55B5D"/>
    <w:rsid w:val="00B5628A"/>
    <w:rsid w:val="00B5669F"/>
    <w:rsid w:val="00B56E8D"/>
    <w:rsid w:val="00B575E8"/>
    <w:rsid w:val="00B57AB6"/>
    <w:rsid w:val="00B57FAD"/>
    <w:rsid w:val="00B60226"/>
    <w:rsid w:val="00B6136D"/>
    <w:rsid w:val="00B615D5"/>
    <w:rsid w:val="00B61D00"/>
    <w:rsid w:val="00B62218"/>
    <w:rsid w:val="00B62D74"/>
    <w:rsid w:val="00B631C9"/>
    <w:rsid w:val="00B6329D"/>
    <w:rsid w:val="00B6422A"/>
    <w:rsid w:val="00B648C4"/>
    <w:rsid w:val="00B655F0"/>
    <w:rsid w:val="00B657DD"/>
    <w:rsid w:val="00B65CE1"/>
    <w:rsid w:val="00B6605B"/>
    <w:rsid w:val="00B665AF"/>
    <w:rsid w:val="00B66BC5"/>
    <w:rsid w:val="00B66FC7"/>
    <w:rsid w:val="00B66FEC"/>
    <w:rsid w:val="00B67713"/>
    <w:rsid w:val="00B67BF4"/>
    <w:rsid w:val="00B70C8D"/>
    <w:rsid w:val="00B7145E"/>
    <w:rsid w:val="00B714A3"/>
    <w:rsid w:val="00B71573"/>
    <w:rsid w:val="00B71B35"/>
    <w:rsid w:val="00B7213A"/>
    <w:rsid w:val="00B724E6"/>
    <w:rsid w:val="00B727DA"/>
    <w:rsid w:val="00B72BE2"/>
    <w:rsid w:val="00B72DB3"/>
    <w:rsid w:val="00B72E56"/>
    <w:rsid w:val="00B72F18"/>
    <w:rsid w:val="00B7313F"/>
    <w:rsid w:val="00B73328"/>
    <w:rsid w:val="00B73768"/>
    <w:rsid w:val="00B73776"/>
    <w:rsid w:val="00B73B29"/>
    <w:rsid w:val="00B74392"/>
    <w:rsid w:val="00B743D0"/>
    <w:rsid w:val="00B747DC"/>
    <w:rsid w:val="00B74B0B"/>
    <w:rsid w:val="00B74E6B"/>
    <w:rsid w:val="00B75172"/>
    <w:rsid w:val="00B751FD"/>
    <w:rsid w:val="00B75932"/>
    <w:rsid w:val="00B75BD2"/>
    <w:rsid w:val="00B75E28"/>
    <w:rsid w:val="00B7630E"/>
    <w:rsid w:val="00B76400"/>
    <w:rsid w:val="00B76471"/>
    <w:rsid w:val="00B76BC5"/>
    <w:rsid w:val="00B76EF3"/>
    <w:rsid w:val="00B77033"/>
    <w:rsid w:val="00B77AF0"/>
    <w:rsid w:val="00B77AF9"/>
    <w:rsid w:val="00B807BD"/>
    <w:rsid w:val="00B815A1"/>
    <w:rsid w:val="00B81DC1"/>
    <w:rsid w:val="00B82FDE"/>
    <w:rsid w:val="00B83296"/>
    <w:rsid w:val="00B833BE"/>
    <w:rsid w:val="00B83DBA"/>
    <w:rsid w:val="00B84049"/>
    <w:rsid w:val="00B8418D"/>
    <w:rsid w:val="00B84555"/>
    <w:rsid w:val="00B84AE7"/>
    <w:rsid w:val="00B84B1D"/>
    <w:rsid w:val="00B84CA9"/>
    <w:rsid w:val="00B852F9"/>
    <w:rsid w:val="00B86147"/>
    <w:rsid w:val="00B8694B"/>
    <w:rsid w:val="00B86A95"/>
    <w:rsid w:val="00B87567"/>
    <w:rsid w:val="00B87D52"/>
    <w:rsid w:val="00B903E0"/>
    <w:rsid w:val="00B90636"/>
    <w:rsid w:val="00B9079E"/>
    <w:rsid w:val="00B91944"/>
    <w:rsid w:val="00B919AB"/>
    <w:rsid w:val="00B92160"/>
    <w:rsid w:val="00B923DC"/>
    <w:rsid w:val="00B92725"/>
    <w:rsid w:val="00B9278F"/>
    <w:rsid w:val="00B94365"/>
    <w:rsid w:val="00B9460B"/>
    <w:rsid w:val="00B94DFE"/>
    <w:rsid w:val="00B94EB9"/>
    <w:rsid w:val="00B94FC4"/>
    <w:rsid w:val="00B9512C"/>
    <w:rsid w:val="00B95577"/>
    <w:rsid w:val="00B95976"/>
    <w:rsid w:val="00B95A91"/>
    <w:rsid w:val="00B95EA2"/>
    <w:rsid w:val="00B97185"/>
    <w:rsid w:val="00B97595"/>
    <w:rsid w:val="00B978AE"/>
    <w:rsid w:val="00B97D4A"/>
    <w:rsid w:val="00BA009B"/>
    <w:rsid w:val="00BA056D"/>
    <w:rsid w:val="00BA0CCE"/>
    <w:rsid w:val="00BA124D"/>
    <w:rsid w:val="00BA1383"/>
    <w:rsid w:val="00BA1C74"/>
    <w:rsid w:val="00BA214B"/>
    <w:rsid w:val="00BA2968"/>
    <w:rsid w:val="00BA2C2E"/>
    <w:rsid w:val="00BA2D2B"/>
    <w:rsid w:val="00BA2F5B"/>
    <w:rsid w:val="00BA3572"/>
    <w:rsid w:val="00BA3595"/>
    <w:rsid w:val="00BA389D"/>
    <w:rsid w:val="00BA3DE5"/>
    <w:rsid w:val="00BA411E"/>
    <w:rsid w:val="00BA444B"/>
    <w:rsid w:val="00BA44C8"/>
    <w:rsid w:val="00BA44D1"/>
    <w:rsid w:val="00BA46A5"/>
    <w:rsid w:val="00BA4B68"/>
    <w:rsid w:val="00BA595D"/>
    <w:rsid w:val="00BA5B32"/>
    <w:rsid w:val="00BA669C"/>
    <w:rsid w:val="00BA6880"/>
    <w:rsid w:val="00BA6FBF"/>
    <w:rsid w:val="00BA7319"/>
    <w:rsid w:val="00BA75A4"/>
    <w:rsid w:val="00BB0129"/>
    <w:rsid w:val="00BB05D0"/>
    <w:rsid w:val="00BB05E6"/>
    <w:rsid w:val="00BB065F"/>
    <w:rsid w:val="00BB0A35"/>
    <w:rsid w:val="00BB14A1"/>
    <w:rsid w:val="00BB162F"/>
    <w:rsid w:val="00BB175F"/>
    <w:rsid w:val="00BB212A"/>
    <w:rsid w:val="00BB2341"/>
    <w:rsid w:val="00BB2BE4"/>
    <w:rsid w:val="00BB330E"/>
    <w:rsid w:val="00BB35CF"/>
    <w:rsid w:val="00BB3649"/>
    <w:rsid w:val="00BB3FAB"/>
    <w:rsid w:val="00BB4109"/>
    <w:rsid w:val="00BB4422"/>
    <w:rsid w:val="00BB467A"/>
    <w:rsid w:val="00BB4C11"/>
    <w:rsid w:val="00BB50B3"/>
    <w:rsid w:val="00BB5293"/>
    <w:rsid w:val="00BB55CF"/>
    <w:rsid w:val="00BB5893"/>
    <w:rsid w:val="00BB58A1"/>
    <w:rsid w:val="00BB6187"/>
    <w:rsid w:val="00BB66EA"/>
    <w:rsid w:val="00BB730E"/>
    <w:rsid w:val="00BB7735"/>
    <w:rsid w:val="00BB78BB"/>
    <w:rsid w:val="00BB7D94"/>
    <w:rsid w:val="00BC0003"/>
    <w:rsid w:val="00BC0663"/>
    <w:rsid w:val="00BC0E6A"/>
    <w:rsid w:val="00BC1583"/>
    <w:rsid w:val="00BC1CE2"/>
    <w:rsid w:val="00BC1D91"/>
    <w:rsid w:val="00BC1F32"/>
    <w:rsid w:val="00BC20FA"/>
    <w:rsid w:val="00BC2313"/>
    <w:rsid w:val="00BC39EF"/>
    <w:rsid w:val="00BC3BF5"/>
    <w:rsid w:val="00BC443A"/>
    <w:rsid w:val="00BC4D84"/>
    <w:rsid w:val="00BC4DAC"/>
    <w:rsid w:val="00BC4F57"/>
    <w:rsid w:val="00BC5007"/>
    <w:rsid w:val="00BC514E"/>
    <w:rsid w:val="00BC587C"/>
    <w:rsid w:val="00BC5CC3"/>
    <w:rsid w:val="00BC676A"/>
    <w:rsid w:val="00BC676D"/>
    <w:rsid w:val="00BC685B"/>
    <w:rsid w:val="00BC72E5"/>
    <w:rsid w:val="00BC740E"/>
    <w:rsid w:val="00BC7725"/>
    <w:rsid w:val="00BC7DA0"/>
    <w:rsid w:val="00BD0188"/>
    <w:rsid w:val="00BD0312"/>
    <w:rsid w:val="00BD04C4"/>
    <w:rsid w:val="00BD0831"/>
    <w:rsid w:val="00BD1159"/>
    <w:rsid w:val="00BD1697"/>
    <w:rsid w:val="00BD173C"/>
    <w:rsid w:val="00BD1930"/>
    <w:rsid w:val="00BD2065"/>
    <w:rsid w:val="00BD21E9"/>
    <w:rsid w:val="00BD2205"/>
    <w:rsid w:val="00BD2526"/>
    <w:rsid w:val="00BD2A5F"/>
    <w:rsid w:val="00BD2AEC"/>
    <w:rsid w:val="00BD33F8"/>
    <w:rsid w:val="00BD3446"/>
    <w:rsid w:val="00BD347D"/>
    <w:rsid w:val="00BD397D"/>
    <w:rsid w:val="00BD3986"/>
    <w:rsid w:val="00BD4A3E"/>
    <w:rsid w:val="00BD5BDD"/>
    <w:rsid w:val="00BD6579"/>
    <w:rsid w:val="00BD65FA"/>
    <w:rsid w:val="00BD675F"/>
    <w:rsid w:val="00BD6945"/>
    <w:rsid w:val="00BD71B3"/>
    <w:rsid w:val="00BD7B91"/>
    <w:rsid w:val="00BD7C3E"/>
    <w:rsid w:val="00BE0338"/>
    <w:rsid w:val="00BE15C0"/>
    <w:rsid w:val="00BE1847"/>
    <w:rsid w:val="00BE1A2B"/>
    <w:rsid w:val="00BE297A"/>
    <w:rsid w:val="00BE3999"/>
    <w:rsid w:val="00BE3AFC"/>
    <w:rsid w:val="00BE3BE3"/>
    <w:rsid w:val="00BE4034"/>
    <w:rsid w:val="00BE47D0"/>
    <w:rsid w:val="00BE4A5D"/>
    <w:rsid w:val="00BE4BD0"/>
    <w:rsid w:val="00BE50F9"/>
    <w:rsid w:val="00BE5339"/>
    <w:rsid w:val="00BE55E3"/>
    <w:rsid w:val="00BE5A0B"/>
    <w:rsid w:val="00BE62A7"/>
    <w:rsid w:val="00BE6395"/>
    <w:rsid w:val="00BE656E"/>
    <w:rsid w:val="00BE667F"/>
    <w:rsid w:val="00BE66E2"/>
    <w:rsid w:val="00BE6827"/>
    <w:rsid w:val="00BE6B55"/>
    <w:rsid w:val="00BE7089"/>
    <w:rsid w:val="00BE7118"/>
    <w:rsid w:val="00BE769A"/>
    <w:rsid w:val="00BE7B02"/>
    <w:rsid w:val="00BF0567"/>
    <w:rsid w:val="00BF0869"/>
    <w:rsid w:val="00BF0881"/>
    <w:rsid w:val="00BF0E3D"/>
    <w:rsid w:val="00BF111F"/>
    <w:rsid w:val="00BF34E8"/>
    <w:rsid w:val="00BF3685"/>
    <w:rsid w:val="00BF46C0"/>
    <w:rsid w:val="00BF5F2F"/>
    <w:rsid w:val="00BF5FF4"/>
    <w:rsid w:val="00BF6023"/>
    <w:rsid w:val="00BF636E"/>
    <w:rsid w:val="00BF6AF1"/>
    <w:rsid w:val="00BF6C84"/>
    <w:rsid w:val="00BF6CAF"/>
    <w:rsid w:val="00BF6DC0"/>
    <w:rsid w:val="00BF6E3B"/>
    <w:rsid w:val="00BF77BC"/>
    <w:rsid w:val="00BF7EBE"/>
    <w:rsid w:val="00C00A81"/>
    <w:rsid w:val="00C00CC0"/>
    <w:rsid w:val="00C00F21"/>
    <w:rsid w:val="00C0139A"/>
    <w:rsid w:val="00C01ED2"/>
    <w:rsid w:val="00C02231"/>
    <w:rsid w:val="00C024AE"/>
    <w:rsid w:val="00C02950"/>
    <w:rsid w:val="00C0295A"/>
    <w:rsid w:val="00C03003"/>
    <w:rsid w:val="00C03B2A"/>
    <w:rsid w:val="00C03CF7"/>
    <w:rsid w:val="00C03DB3"/>
    <w:rsid w:val="00C0420D"/>
    <w:rsid w:val="00C04EBD"/>
    <w:rsid w:val="00C06084"/>
    <w:rsid w:val="00C0655C"/>
    <w:rsid w:val="00C06A76"/>
    <w:rsid w:val="00C06ABF"/>
    <w:rsid w:val="00C06DE9"/>
    <w:rsid w:val="00C070F1"/>
    <w:rsid w:val="00C07540"/>
    <w:rsid w:val="00C100AE"/>
    <w:rsid w:val="00C101D6"/>
    <w:rsid w:val="00C1032B"/>
    <w:rsid w:val="00C106C3"/>
    <w:rsid w:val="00C11538"/>
    <w:rsid w:val="00C1257F"/>
    <w:rsid w:val="00C12C21"/>
    <w:rsid w:val="00C133C3"/>
    <w:rsid w:val="00C1348D"/>
    <w:rsid w:val="00C13DD5"/>
    <w:rsid w:val="00C14195"/>
    <w:rsid w:val="00C14AAF"/>
    <w:rsid w:val="00C14E39"/>
    <w:rsid w:val="00C15C53"/>
    <w:rsid w:val="00C168EF"/>
    <w:rsid w:val="00C16BED"/>
    <w:rsid w:val="00C1712B"/>
    <w:rsid w:val="00C173CC"/>
    <w:rsid w:val="00C17A20"/>
    <w:rsid w:val="00C17B67"/>
    <w:rsid w:val="00C200E9"/>
    <w:rsid w:val="00C2052F"/>
    <w:rsid w:val="00C2071D"/>
    <w:rsid w:val="00C20B81"/>
    <w:rsid w:val="00C20D46"/>
    <w:rsid w:val="00C21481"/>
    <w:rsid w:val="00C216F0"/>
    <w:rsid w:val="00C21C71"/>
    <w:rsid w:val="00C222FC"/>
    <w:rsid w:val="00C225DD"/>
    <w:rsid w:val="00C233E3"/>
    <w:rsid w:val="00C23855"/>
    <w:rsid w:val="00C24243"/>
    <w:rsid w:val="00C2453A"/>
    <w:rsid w:val="00C252E8"/>
    <w:rsid w:val="00C253D2"/>
    <w:rsid w:val="00C253E6"/>
    <w:rsid w:val="00C254F3"/>
    <w:rsid w:val="00C256A5"/>
    <w:rsid w:val="00C25855"/>
    <w:rsid w:val="00C25BA5"/>
    <w:rsid w:val="00C25EA8"/>
    <w:rsid w:val="00C263BF"/>
    <w:rsid w:val="00C266A5"/>
    <w:rsid w:val="00C27056"/>
    <w:rsid w:val="00C270A5"/>
    <w:rsid w:val="00C27410"/>
    <w:rsid w:val="00C2767D"/>
    <w:rsid w:val="00C27FC9"/>
    <w:rsid w:val="00C30257"/>
    <w:rsid w:val="00C30560"/>
    <w:rsid w:val="00C30769"/>
    <w:rsid w:val="00C314CB"/>
    <w:rsid w:val="00C3150D"/>
    <w:rsid w:val="00C3151D"/>
    <w:rsid w:val="00C316AD"/>
    <w:rsid w:val="00C31D66"/>
    <w:rsid w:val="00C31E51"/>
    <w:rsid w:val="00C31ED0"/>
    <w:rsid w:val="00C32A73"/>
    <w:rsid w:val="00C32B5D"/>
    <w:rsid w:val="00C336D4"/>
    <w:rsid w:val="00C33848"/>
    <w:rsid w:val="00C341CB"/>
    <w:rsid w:val="00C3449F"/>
    <w:rsid w:val="00C34D75"/>
    <w:rsid w:val="00C3540C"/>
    <w:rsid w:val="00C3544C"/>
    <w:rsid w:val="00C35CEF"/>
    <w:rsid w:val="00C35F24"/>
    <w:rsid w:val="00C367D4"/>
    <w:rsid w:val="00C36C50"/>
    <w:rsid w:val="00C36F14"/>
    <w:rsid w:val="00C370DC"/>
    <w:rsid w:val="00C378F8"/>
    <w:rsid w:val="00C37A45"/>
    <w:rsid w:val="00C4026E"/>
    <w:rsid w:val="00C4055D"/>
    <w:rsid w:val="00C40798"/>
    <w:rsid w:val="00C410F6"/>
    <w:rsid w:val="00C411AD"/>
    <w:rsid w:val="00C411E9"/>
    <w:rsid w:val="00C41A83"/>
    <w:rsid w:val="00C41F01"/>
    <w:rsid w:val="00C42181"/>
    <w:rsid w:val="00C42AA7"/>
    <w:rsid w:val="00C433BB"/>
    <w:rsid w:val="00C4378B"/>
    <w:rsid w:val="00C43A13"/>
    <w:rsid w:val="00C43AFC"/>
    <w:rsid w:val="00C43CB6"/>
    <w:rsid w:val="00C43F32"/>
    <w:rsid w:val="00C450EA"/>
    <w:rsid w:val="00C47A8F"/>
    <w:rsid w:val="00C47D70"/>
    <w:rsid w:val="00C50136"/>
    <w:rsid w:val="00C503CF"/>
    <w:rsid w:val="00C506F0"/>
    <w:rsid w:val="00C50BBD"/>
    <w:rsid w:val="00C50C9C"/>
    <w:rsid w:val="00C50DD8"/>
    <w:rsid w:val="00C50F07"/>
    <w:rsid w:val="00C515A3"/>
    <w:rsid w:val="00C516EF"/>
    <w:rsid w:val="00C51F4E"/>
    <w:rsid w:val="00C5243E"/>
    <w:rsid w:val="00C52CA9"/>
    <w:rsid w:val="00C53DBA"/>
    <w:rsid w:val="00C53EBF"/>
    <w:rsid w:val="00C5429A"/>
    <w:rsid w:val="00C543A1"/>
    <w:rsid w:val="00C5456F"/>
    <w:rsid w:val="00C546A6"/>
    <w:rsid w:val="00C54716"/>
    <w:rsid w:val="00C54C34"/>
    <w:rsid w:val="00C54EA3"/>
    <w:rsid w:val="00C5521F"/>
    <w:rsid w:val="00C55484"/>
    <w:rsid w:val="00C55C58"/>
    <w:rsid w:val="00C55DDE"/>
    <w:rsid w:val="00C560D5"/>
    <w:rsid w:val="00C56212"/>
    <w:rsid w:val="00C568AC"/>
    <w:rsid w:val="00C56C78"/>
    <w:rsid w:val="00C56CA0"/>
    <w:rsid w:val="00C570AC"/>
    <w:rsid w:val="00C57A89"/>
    <w:rsid w:val="00C60A9D"/>
    <w:rsid w:val="00C60D9A"/>
    <w:rsid w:val="00C60E26"/>
    <w:rsid w:val="00C60EC5"/>
    <w:rsid w:val="00C61577"/>
    <w:rsid w:val="00C6170C"/>
    <w:rsid w:val="00C619E0"/>
    <w:rsid w:val="00C61B72"/>
    <w:rsid w:val="00C62244"/>
    <w:rsid w:val="00C6254F"/>
    <w:rsid w:val="00C63855"/>
    <w:rsid w:val="00C638D2"/>
    <w:rsid w:val="00C63A5E"/>
    <w:rsid w:val="00C63F6F"/>
    <w:rsid w:val="00C64735"/>
    <w:rsid w:val="00C64813"/>
    <w:rsid w:val="00C64F0B"/>
    <w:rsid w:val="00C651A9"/>
    <w:rsid w:val="00C6567D"/>
    <w:rsid w:val="00C65A8F"/>
    <w:rsid w:val="00C65E72"/>
    <w:rsid w:val="00C67319"/>
    <w:rsid w:val="00C67520"/>
    <w:rsid w:val="00C67C96"/>
    <w:rsid w:val="00C67E2A"/>
    <w:rsid w:val="00C717A7"/>
    <w:rsid w:val="00C71A7A"/>
    <w:rsid w:val="00C72A41"/>
    <w:rsid w:val="00C72C6C"/>
    <w:rsid w:val="00C7316C"/>
    <w:rsid w:val="00C733B4"/>
    <w:rsid w:val="00C7340D"/>
    <w:rsid w:val="00C7393C"/>
    <w:rsid w:val="00C739DF"/>
    <w:rsid w:val="00C7459F"/>
    <w:rsid w:val="00C74691"/>
    <w:rsid w:val="00C74740"/>
    <w:rsid w:val="00C747A6"/>
    <w:rsid w:val="00C749B5"/>
    <w:rsid w:val="00C74B18"/>
    <w:rsid w:val="00C75588"/>
    <w:rsid w:val="00C763A3"/>
    <w:rsid w:val="00C7698F"/>
    <w:rsid w:val="00C76B15"/>
    <w:rsid w:val="00C76DCF"/>
    <w:rsid w:val="00C772BE"/>
    <w:rsid w:val="00C7746E"/>
    <w:rsid w:val="00C7769C"/>
    <w:rsid w:val="00C8024A"/>
    <w:rsid w:val="00C807FC"/>
    <w:rsid w:val="00C81378"/>
    <w:rsid w:val="00C81710"/>
    <w:rsid w:val="00C81BB5"/>
    <w:rsid w:val="00C8222C"/>
    <w:rsid w:val="00C822CD"/>
    <w:rsid w:val="00C82484"/>
    <w:rsid w:val="00C8281E"/>
    <w:rsid w:val="00C82844"/>
    <w:rsid w:val="00C8303D"/>
    <w:rsid w:val="00C83974"/>
    <w:rsid w:val="00C83A1C"/>
    <w:rsid w:val="00C83B64"/>
    <w:rsid w:val="00C8408C"/>
    <w:rsid w:val="00C8417B"/>
    <w:rsid w:val="00C843FA"/>
    <w:rsid w:val="00C849C8"/>
    <w:rsid w:val="00C84D02"/>
    <w:rsid w:val="00C854A4"/>
    <w:rsid w:val="00C85741"/>
    <w:rsid w:val="00C85766"/>
    <w:rsid w:val="00C85790"/>
    <w:rsid w:val="00C865F2"/>
    <w:rsid w:val="00C874BE"/>
    <w:rsid w:val="00C876DD"/>
    <w:rsid w:val="00C87ECA"/>
    <w:rsid w:val="00C90184"/>
    <w:rsid w:val="00C903A6"/>
    <w:rsid w:val="00C903C4"/>
    <w:rsid w:val="00C90F7E"/>
    <w:rsid w:val="00C9118F"/>
    <w:rsid w:val="00C91389"/>
    <w:rsid w:val="00C91472"/>
    <w:rsid w:val="00C914C4"/>
    <w:rsid w:val="00C9264D"/>
    <w:rsid w:val="00C92C06"/>
    <w:rsid w:val="00C92F97"/>
    <w:rsid w:val="00C9309E"/>
    <w:rsid w:val="00C9314F"/>
    <w:rsid w:val="00C938AB"/>
    <w:rsid w:val="00C938BC"/>
    <w:rsid w:val="00C938E1"/>
    <w:rsid w:val="00C93CB2"/>
    <w:rsid w:val="00C94240"/>
    <w:rsid w:val="00C945A7"/>
    <w:rsid w:val="00C94926"/>
    <w:rsid w:val="00C94C92"/>
    <w:rsid w:val="00C95109"/>
    <w:rsid w:val="00C95417"/>
    <w:rsid w:val="00C96783"/>
    <w:rsid w:val="00C96E65"/>
    <w:rsid w:val="00C97833"/>
    <w:rsid w:val="00C97867"/>
    <w:rsid w:val="00C97D31"/>
    <w:rsid w:val="00CA00E0"/>
    <w:rsid w:val="00CA0174"/>
    <w:rsid w:val="00CA020B"/>
    <w:rsid w:val="00CA10E7"/>
    <w:rsid w:val="00CA196A"/>
    <w:rsid w:val="00CA2347"/>
    <w:rsid w:val="00CA2A5D"/>
    <w:rsid w:val="00CA300C"/>
    <w:rsid w:val="00CA31A1"/>
    <w:rsid w:val="00CA31B1"/>
    <w:rsid w:val="00CA3230"/>
    <w:rsid w:val="00CA324C"/>
    <w:rsid w:val="00CA4516"/>
    <w:rsid w:val="00CA4D88"/>
    <w:rsid w:val="00CA5228"/>
    <w:rsid w:val="00CA52E6"/>
    <w:rsid w:val="00CA530F"/>
    <w:rsid w:val="00CA56D7"/>
    <w:rsid w:val="00CA67A2"/>
    <w:rsid w:val="00CA695D"/>
    <w:rsid w:val="00CA70DE"/>
    <w:rsid w:val="00CA73E1"/>
    <w:rsid w:val="00CA7A03"/>
    <w:rsid w:val="00CA7C2B"/>
    <w:rsid w:val="00CA7C64"/>
    <w:rsid w:val="00CB0532"/>
    <w:rsid w:val="00CB09C7"/>
    <w:rsid w:val="00CB0BF7"/>
    <w:rsid w:val="00CB0EEF"/>
    <w:rsid w:val="00CB0F5D"/>
    <w:rsid w:val="00CB1366"/>
    <w:rsid w:val="00CB1965"/>
    <w:rsid w:val="00CB1CBE"/>
    <w:rsid w:val="00CB1EB7"/>
    <w:rsid w:val="00CB1F7F"/>
    <w:rsid w:val="00CB24CF"/>
    <w:rsid w:val="00CB276C"/>
    <w:rsid w:val="00CB2EA2"/>
    <w:rsid w:val="00CB38BB"/>
    <w:rsid w:val="00CB3974"/>
    <w:rsid w:val="00CB3A86"/>
    <w:rsid w:val="00CB3E6F"/>
    <w:rsid w:val="00CB410D"/>
    <w:rsid w:val="00CB4153"/>
    <w:rsid w:val="00CB439A"/>
    <w:rsid w:val="00CB4563"/>
    <w:rsid w:val="00CB51DB"/>
    <w:rsid w:val="00CB52A9"/>
    <w:rsid w:val="00CB583C"/>
    <w:rsid w:val="00CB6404"/>
    <w:rsid w:val="00CB6A24"/>
    <w:rsid w:val="00CB6F08"/>
    <w:rsid w:val="00CB6FFC"/>
    <w:rsid w:val="00CB7270"/>
    <w:rsid w:val="00CB78DC"/>
    <w:rsid w:val="00CB79C3"/>
    <w:rsid w:val="00CB7F0D"/>
    <w:rsid w:val="00CC0D44"/>
    <w:rsid w:val="00CC0F2E"/>
    <w:rsid w:val="00CC17FF"/>
    <w:rsid w:val="00CC1956"/>
    <w:rsid w:val="00CC1A3F"/>
    <w:rsid w:val="00CC1AC7"/>
    <w:rsid w:val="00CC1BD3"/>
    <w:rsid w:val="00CC214C"/>
    <w:rsid w:val="00CC2500"/>
    <w:rsid w:val="00CC2AF5"/>
    <w:rsid w:val="00CC2B28"/>
    <w:rsid w:val="00CC2F07"/>
    <w:rsid w:val="00CC2F7E"/>
    <w:rsid w:val="00CC2FB0"/>
    <w:rsid w:val="00CC32F2"/>
    <w:rsid w:val="00CC389D"/>
    <w:rsid w:val="00CC3963"/>
    <w:rsid w:val="00CC3FB5"/>
    <w:rsid w:val="00CC5474"/>
    <w:rsid w:val="00CC5EA6"/>
    <w:rsid w:val="00CC6107"/>
    <w:rsid w:val="00CC6264"/>
    <w:rsid w:val="00CC662B"/>
    <w:rsid w:val="00CC6941"/>
    <w:rsid w:val="00CC70CA"/>
    <w:rsid w:val="00CC70FC"/>
    <w:rsid w:val="00CC74E0"/>
    <w:rsid w:val="00CC751F"/>
    <w:rsid w:val="00CC7714"/>
    <w:rsid w:val="00CC7D2F"/>
    <w:rsid w:val="00CD064A"/>
    <w:rsid w:val="00CD0BC9"/>
    <w:rsid w:val="00CD103B"/>
    <w:rsid w:val="00CD2047"/>
    <w:rsid w:val="00CD21C0"/>
    <w:rsid w:val="00CD2310"/>
    <w:rsid w:val="00CD2611"/>
    <w:rsid w:val="00CD26B6"/>
    <w:rsid w:val="00CD363E"/>
    <w:rsid w:val="00CD38BD"/>
    <w:rsid w:val="00CD3A64"/>
    <w:rsid w:val="00CD3D9E"/>
    <w:rsid w:val="00CD4221"/>
    <w:rsid w:val="00CD4390"/>
    <w:rsid w:val="00CD4601"/>
    <w:rsid w:val="00CD496C"/>
    <w:rsid w:val="00CD49CE"/>
    <w:rsid w:val="00CD52DF"/>
    <w:rsid w:val="00CD56B6"/>
    <w:rsid w:val="00CD67B8"/>
    <w:rsid w:val="00CD752F"/>
    <w:rsid w:val="00CD7872"/>
    <w:rsid w:val="00CE0551"/>
    <w:rsid w:val="00CE0602"/>
    <w:rsid w:val="00CE0741"/>
    <w:rsid w:val="00CE0A78"/>
    <w:rsid w:val="00CE118A"/>
    <w:rsid w:val="00CE15D3"/>
    <w:rsid w:val="00CE196B"/>
    <w:rsid w:val="00CE1AEC"/>
    <w:rsid w:val="00CE1AFB"/>
    <w:rsid w:val="00CE21A3"/>
    <w:rsid w:val="00CE2212"/>
    <w:rsid w:val="00CE221E"/>
    <w:rsid w:val="00CE2AC7"/>
    <w:rsid w:val="00CE2ED5"/>
    <w:rsid w:val="00CE3041"/>
    <w:rsid w:val="00CE3285"/>
    <w:rsid w:val="00CE36EC"/>
    <w:rsid w:val="00CE375D"/>
    <w:rsid w:val="00CE39A5"/>
    <w:rsid w:val="00CE3B1D"/>
    <w:rsid w:val="00CE3BC6"/>
    <w:rsid w:val="00CE3E36"/>
    <w:rsid w:val="00CE50E7"/>
    <w:rsid w:val="00CE52A7"/>
    <w:rsid w:val="00CE53E4"/>
    <w:rsid w:val="00CE5450"/>
    <w:rsid w:val="00CE726C"/>
    <w:rsid w:val="00CE76E3"/>
    <w:rsid w:val="00CE7752"/>
    <w:rsid w:val="00CE79FB"/>
    <w:rsid w:val="00CE7D9F"/>
    <w:rsid w:val="00CE7F5E"/>
    <w:rsid w:val="00CF092F"/>
    <w:rsid w:val="00CF0996"/>
    <w:rsid w:val="00CF0999"/>
    <w:rsid w:val="00CF1009"/>
    <w:rsid w:val="00CF164B"/>
    <w:rsid w:val="00CF21B4"/>
    <w:rsid w:val="00CF2238"/>
    <w:rsid w:val="00CF2529"/>
    <w:rsid w:val="00CF2E11"/>
    <w:rsid w:val="00CF3250"/>
    <w:rsid w:val="00CF340C"/>
    <w:rsid w:val="00CF38BD"/>
    <w:rsid w:val="00CF3F8A"/>
    <w:rsid w:val="00CF41F4"/>
    <w:rsid w:val="00CF4532"/>
    <w:rsid w:val="00CF4685"/>
    <w:rsid w:val="00CF486F"/>
    <w:rsid w:val="00CF4B5C"/>
    <w:rsid w:val="00CF5BC6"/>
    <w:rsid w:val="00CF5D20"/>
    <w:rsid w:val="00CF621D"/>
    <w:rsid w:val="00CF6F49"/>
    <w:rsid w:val="00CF71F2"/>
    <w:rsid w:val="00CF744E"/>
    <w:rsid w:val="00CF75CA"/>
    <w:rsid w:val="00CF7846"/>
    <w:rsid w:val="00CF7B66"/>
    <w:rsid w:val="00CF7CC0"/>
    <w:rsid w:val="00D0023C"/>
    <w:rsid w:val="00D00330"/>
    <w:rsid w:val="00D00D08"/>
    <w:rsid w:val="00D013D2"/>
    <w:rsid w:val="00D01701"/>
    <w:rsid w:val="00D01922"/>
    <w:rsid w:val="00D021C6"/>
    <w:rsid w:val="00D025CC"/>
    <w:rsid w:val="00D026B8"/>
    <w:rsid w:val="00D02CC0"/>
    <w:rsid w:val="00D02E9E"/>
    <w:rsid w:val="00D037E1"/>
    <w:rsid w:val="00D03A72"/>
    <w:rsid w:val="00D03B49"/>
    <w:rsid w:val="00D03BD3"/>
    <w:rsid w:val="00D040BB"/>
    <w:rsid w:val="00D047D7"/>
    <w:rsid w:val="00D04AF2"/>
    <w:rsid w:val="00D04DEA"/>
    <w:rsid w:val="00D05251"/>
    <w:rsid w:val="00D052CB"/>
    <w:rsid w:val="00D05672"/>
    <w:rsid w:val="00D05C74"/>
    <w:rsid w:val="00D05DEA"/>
    <w:rsid w:val="00D05F84"/>
    <w:rsid w:val="00D06F56"/>
    <w:rsid w:val="00D0735D"/>
    <w:rsid w:val="00D07AB3"/>
    <w:rsid w:val="00D07FBA"/>
    <w:rsid w:val="00D101B5"/>
    <w:rsid w:val="00D104F3"/>
    <w:rsid w:val="00D105CF"/>
    <w:rsid w:val="00D108F0"/>
    <w:rsid w:val="00D10960"/>
    <w:rsid w:val="00D114D4"/>
    <w:rsid w:val="00D11509"/>
    <w:rsid w:val="00D11826"/>
    <w:rsid w:val="00D11B0D"/>
    <w:rsid w:val="00D11DE2"/>
    <w:rsid w:val="00D1206E"/>
    <w:rsid w:val="00D12801"/>
    <w:rsid w:val="00D12F11"/>
    <w:rsid w:val="00D13197"/>
    <w:rsid w:val="00D1336F"/>
    <w:rsid w:val="00D13421"/>
    <w:rsid w:val="00D13B63"/>
    <w:rsid w:val="00D1402F"/>
    <w:rsid w:val="00D14156"/>
    <w:rsid w:val="00D14646"/>
    <w:rsid w:val="00D14C02"/>
    <w:rsid w:val="00D14CB5"/>
    <w:rsid w:val="00D14FA6"/>
    <w:rsid w:val="00D155EB"/>
    <w:rsid w:val="00D15B36"/>
    <w:rsid w:val="00D15B54"/>
    <w:rsid w:val="00D15DC1"/>
    <w:rsid w:val="00D15F14"/>
    <w:rsid w:val="00D16AA9"/>
    <w:rsid w:val="00D16D22"/>
    <w:rsid w:val="00D171D0"/>
    <w:rsid w:val="00D17347"/>
    <w:rsid w:val="00D176B6"/>
    <w:rsid w:val="00D17F52"/>
    <w:rsid w:val="00D201D0"/>
    <w:rsid w:val="00D20553"/>
    <w:rsid w:val="00D20F93"/>
    <w:rsid w:val="00D21978"/>
    <w:rsid w:val="00D21C97"/>
    <w:rsid w:val="00D22686"/>
    <w:rsid w:val="00D226CF"/>
    <w:rsid w:val="00D22F1C"/>
    <w:rsid w:val="00D230E6"/>
    <w:rsid w:val="00D2319E"/>
    <w:rsid w:val="00D2369A"/>
    <w:rsid w:val="00D23A02"/>
    <w:rsid w:val="00D23EA4"/>
    <w:rsid w:val="00D23FD5"/>
    <w:rsid w:val="00D23FE3"/>
    <w:rsid w:val="00D2430A"/>
    <w:rsid w:val="00D244A8"/>
    <w:rsid w:val="00D24723"/>
    <w:rsid w:val="00D24A2A"/>
    <w:rsid w:val="00D24D57"/>
    <w:rsid w:val="00D259FE"/>
    <w:rsid w:val="00D25E8C"/>
    <w:rsid w:val="00D25EA1"/>
    <w:rsid w:val="00D264D9"/>
    <w:rsid w:val="00D26578"/>
    <w:rsid w:val="00D26680"/>
    <w:rsid w:val="00D26EDD"/>
    <w:rsid w:val="00D2702D"/>
    <w:rsid w:val="00D2739F"/>
    <w:rsid w:val="00D27543"/>
    <w:rsid w:val="00D304CF"/>
    <w:rsid w:val="00D30E83"/>
    <w:rsid w:val="00D31180"/>
    <w:rsid w:val="00D317F9"/>
    <w:rsid w:val="00D31A7A"/>
    <w:rsid w:val="00D31BAA"/>
    <w:rsid w:val="00D31EA1"/>
    <w:rsid w:val="00D31F79"/>
    <w:rsid w:val="00D3210C"/>
    <w:rsid w:val="00D321D8"/>
    <w:rsid w:val="00D323B5"/>
    <w:rsid w:val="00D325DC"/>
    <w:rsid w:val="00D32AA0"/>
    <w:rsid w:val="00D32D40"/>
    <w:rsid w:val="00D33344"/>
    <w:rsid w:val="00D336D4"/>
    <w:rsid w:val="00D33763"/>
    <w:rsid w:val="00D33C35"/>
    <w:rsid w:val="00D33D80"/>
    <w:rsid w:val="00D34458"/>
    <w:rsid w:val="00D345EF"/>
    <w:rsid w:val="00D348BD"/>
    <w:rsid w:val="00D352E7"/>
    <w:rsid w:val="00D354AB"/>
    <w:rsid w:val="00D357DA"/>
    <w:rsid w:val="00D35E60"/>
    <w:rsid w:val="00D3629D"/>
    <w:rsid w:val="00D367FD"/>
    <w:rsid w:val="00D368B2"/>
    <w:rsid w:val="00D369EE"/>
    <w:rsid w:val="00D36D57"/>
    <w:rsid w:val="00D37F87"/>
    <w:rsid w:val="00D40A62"/>
    <w:rsid w:val="00D411B2"/>
    <w:rsid w:val="00D4136C"/>
    <w:rsid w:val="00D413C3"/>
    <w:rsid w:val="00D41722"/>
    <w:rsid w:val="00D4238F"/>
    <w:rsid w:val="00D427A6"/>
    <w:rsid w:val="00D43406"/>
    <w:rsid w:val="00D43E14"/>
    <w:rsid w:val="00D4435A"/>
    <w:rsid w:val="00D44367"/>
    <w:rsid w:val="00D443AC"/>
    <w:rsid w:val="00D449CA"/>
    <w:rsid w:val="00D44AF4"/>
    <w:rsid w:val="00D44B76"/>
    <w:rsid w:val="00D44B87"/>
    <w:rsid w:val="00D44C25"/>
    <w:rsid w:val="00D44F94"/>
    <w:rsid w:val="00D4611B"/>
    <w:rsid w:val="00D46B88"/>
    <w:rsid w:val="00D46F42"/>
    <w:rsid w:val="00D474DD"/>
    <w:rsid w:val="00D477F8"/>
    <w:rsid w:val="00D478A0"/>
    <w:rsid w:val="00D478C4"/>
    <w:rsid w:val="00D47A04"/>
    <w:rsid w:val="00D50597"/>
    <w:rsid w:val="00D50A46"/>
    <w:rsid w:val="00D50F96"/>
    <w:rsid w:val="00D51001"/>
    <w:rsid w:val="00D51DE9"/>
    <w:rsid w:val="00D523CC"/>
    <w:rsid w:val="00D523F2"/>
    <w:rsid w:val="00D52C69"/>
    <w:rsid w:val="00D52F5E"/>
    <w:rsid w:val="00D53514"/>
    <w:rsid w:val="00D5373E"/>
    <w:rsid w:val="00D54180"/>
    <w:rsid w:val="00D544F4"/>
    <w:rsid w:val="00D5553D"/>
    <w:rsid w:val="00D556A3"/>
    <w:rsid w:val="00D55719"/>
    <w:rsid w:val="00D55910"/>
    <w:rsid w:val="00D55A74"/>
    <w:rsid w:val="00D560F4"/>
    <w:rsid w:val="00D56435"/>
    <w:rsid w:val="00D5664D"/>
    <w:rsid w:val="00D566D8"/>
    <w:rsid w:val="00D56810"/>
    <w:rsid w:val="00D56A8E"/>
    <w:rsid w:val="00D56DE6"/>
    <w:rsid w:val="00D56E9A"/>
    <w:rsid w:val="00D5730B"/>
    <w:rsid w:val="00D57466"/>
    <w:rsid w:val="00D57477"/>
    <w:rsid w:val="00D57C0C"/>
    <w:rsid w:val="00D601BB"/>
    <w:rsid w:val="00D60C4A"/>
    <w:rsid w:val="00D60D13"/>
    <w:rsid w:val="00D611A6"/>
    <w:rsid w:val="00D61880"/>
    <w:rsid w:val="00D62B19"/>
    <w:rsid w:val="00D64231"/>
    <w:rsid w:val="00D6428D"/>
    <w:rsid w:val="00D64AE1"/>
    <w:rsid w:val="00D64E42"/>
    <w:rsid w:val="00D6519F"/>
    <w:rsid w:val="00D65360"/>
    <w:rsid w:val="00D6560E"/>
    <w:rsid w:val="00D656C2"/>
    <w:rsid w:val="00D6639B"/>
    <w:rsid w:val="00D66A3D"/>
    <w:rsid w:val="00D66BE0"/>
    <w:rsid w:val="00D673BB"/>
    <w:rsid w:val="00D67462"/>
    <w:rsid w:val="00D6781C"/>
    <w:rsid w:val="00D6788F"/>
    <w:rsid w:val="00D67FCC"/>
    <w:rsid w:val="00D70003"/>
    <w:rsid w:val="00D701CA"/>
    <w:rsid w:val="00D70227"/>
    <w:rsid w:val="00D70DD1"/>
    <w:rsid w:val="00D722BF"/>
    <w:rsid w:val="00D7244C"/>
    <w:rsid w:val="00D72ADE"/>
    <w:rsid w:val="00D72C02"/>
    <w:rsid w:val="00D732F7"/>
    <w:rsid w:val="00D73CF7"/>
    <w:rsid w:val="00D73CFD"/>
    <w:rsid w:val="00D7457B"/>
    <w:rsid w:val="00D7461A"/>
    <w:rsid w:val="00D747A0"/>
    <w:rsid w:val="00D747BB"/>
    <w:rsid w:val="00D75EA9"/>
    <w:rsid w:val="00D76056"/>
    <w:rsid w:val="00D7625C"/>
    <w:rsid w:val="00D76418"/>
    <w:rsid w:val="00D76A2C"/>
    <w:rsid w:val="00D76C15"/>
    <w:rsid w:val="00D7720F"/>
    <w:rsid w:val="00D7772D"/>
    <w:rsid w:val="00D77784"/>
    <w:rsid w:val="00D77AEB"/>
    <w:rsid w:val="00D77C62"/>
    <w:rsid w:val="00D80975"/>
    <w:rsid w:val="00D81375"/>
    <w:rsid w:val="00D813DA"/>
    <w:rsid w:val="00D820C6"/>
    <w:rsid w:val="00D8230E"/>
    <w:rsid w:val="00D8250D"/>
    <w:rsid w:val="00D82760"/>
    <w:rsid w:val="00D82CB0"/>
    <w:rsid w:val="00D838D4"/>
    <w:rsid w:val="00D83AE9"/>
    <w:rsid w:val="00D8435D"/>
    <w:rsid w:val="00D84EFB"/>
    <w:rsid w:val="00D850E5"/>
    <w:rsid w:val="00D85733"/>
    <w:rsid w:val="00D87B97"/>
    <w:rsid w:val="00D87F4A"/>
    <w:rsid w:val="00D900D2"/>
    <w:rsid w:val="00D90A36"/>
    <w:rsid w:val="00D91267"/>
    <w:rsid w:val="00D915B3"/>
    <w:rsid w:val="00D91C16"/>
    <w:rsid w:val="00D927E1"/>
    <w:rsid w:val="00D928FB"/>
    <w:rsid w:val="00D92923"/>
    <w:rsid w:val="00D93117"/>
    <w:rsid w:val="00D934A2"/>
    <w:rsid w:val="00D937F9"/>
    <w:rsid w:val="00D93986"/>
    <w:rsid w:val="00D94D42"/>
    <w:rsid w:val="00D95389"/>
    <w:rsid w:val="00D95B63"/>
    <w:rsid w:val="00D95DEE"/>
    <w:rsid w:val="00D95F2B"/>
    <w:rsid w:val="00D967A2"/>
    <w:rsid w:val="00D96D11"/>
    <w:rsid w:val="00D96E3B"/>
    <w:rsid w:val="00D9708B"/>
    <w:rsid w:val="00D97AAF"/>
    <w:rsid w:val="00DA0226"/>
    <w:rsid w:val="00DA140D"/>
    <w:rsid w:val="00DA1B69"/>
    <w:rsid w:val="00DA1C5B"/>
    <w:rsid w:val="00DA1EE9"/>
    <w:rsid w:val="00DA28CF"/>
    <w:rsid w:val="00DA2ACE"/>
    <w:rsid w:val="00DA34C8"/>
    <w:rsid w:val="00DA35CD"/>
    <w:rsid w:val="00DA3870"/>
    <w:rsid w:val="00DA3935"/>
    <w:rsid w:val="00DA3CDB"/>
    <w:rsid w:val="00DA43AF"/>
    <w:rsid w:val="00DA468E"/>
    <w:rsid w:val="00DA4929"/>
    <w:rsid w:val="00DA4A6B"/>
    <w:rsid w:val="00DA4EEF"/>
    <w:rsid w:val="00DA591B"/>
    <w:rsid w:val="00DA59D0"/>
    <w:rsid w:val="00DA6504"/>
    <w:rsid w:val="00DA74E2"/>
    <w:rsid w:val="00DA75AF"/>
    <w:rsid w:val="00DA765A"/>
    <w:rsid w:val="00DB0028"/>
    <w:rsid w:val="00DB012A"/>
    <w:rsid w:val="00DB0C3E"/>
    <w:rsid w:val="00DB10DC"/>
    <w:rsid w:val="00DB1789"/>
    <w:rsid w:val="00DB1C47"/>
    <w:rsid w:val="00DB1DBB"/>
    <w:rsid w:val="00DB1E91"/>
    <w:rsid w:val="00DB2053"/>
    <w:rsid w:val="00DB20F8"/>
    <w:rsid w:val="00DB22C3"/>
    <w:rsid w:val="00DB26A8"/>
    <w:rsid w:val="00DB2F9A"/>
    <w:rsid w:val="00DB37E0"/>
    <w:rsid w:val="00DB39DB"/>
    <w:rsid w:val="00DB3C97"/>
    <w:rsid w:val="00DB3F86"/>
    <w:rsid w:val="00DB3F9C"/>
    <w:rsid w:val="00DB4A30"/>
    <w:rsid w:val="00DB4E36"/>
    <w:rsid w:val="00DB4F94"/>
    <w:rsid w:val="00DB5699"/>
    <w:rsid w:val="00DB5896"/>
    <w:rsid w:val="00DB5E1D"/>
    <w:rsid w:val="00DB6171"/>
    <w:rsid w:val="00DB6918"/>
    <w:rsid w:val="00DB740B"/>
    <w:rsid w:val="00DB7EBB"/>
    <w:rsid w:val="00DC06F9"/>
    <w:rsid w:val="00DC0B89"/>
    <w:rsid w:val="00DC0C1B"/>
    <w:rsid w:val="00DC0F4F"/>
    <w:rsid w:val="00DC10DC"/>
    <w:rsid w:val="00DC1524"/>
    <w:rsid w:val="00DC180B"/>
    <w:rsid w:val="00DC1FFC"/>
    <w:rsid w:val="00DC21CD"/>
    <w:rsid w:val="00DC2583"/>
    <w:rsid w:val="00DC34C1"/>
    <w:rsid w:val="00DC3D54"/>
    <w:rsid w:val="00DC3DA7"/>
    <w:rsid w:val="00DC3F43"/>
    <w:rsid w:val="00DC3F66"/>
    <w:rsid w:val="00DC4950"/>
    <w:rsid w:val="00DC4CCD"/>
    <w:rsid w:val="00DC6164"/>
    <w:rsid w:val="00DC6824"/>
    <w:rsid w:val="00DC70C0"/>
    <w:rsid w:val="00DC729B"/>
    <w:rsid w:val="00DC77ED"/>
    <w:rsid w:val="00DC7D60"/>
    <w:rsid w:val="00DD0DF3"/>
    <w:rsid w:val="00DD138E"/>
    <w:rsid w:val="00DD13F9"/>
    <w:rsid w:val="00DD1749"/>
    <w:rsid w:val="00DD1FF8"/>
    <w:rsid w:val="00DD24E0"/>
    <w:rsid w:val="00DD2584"/>
    <w:rsid w:val="00DD2654"/>
    <w:rsid w:val="00DD2B8A"/>
    <w:rsid w:val="00DD2F22"/>
    <w:rsid w:val="00DD4AE4"/>
    <w:rsid w:val="00DD5A07"/>
    <w:rsid w:val="00DD5B72"/>
    <w:rsid w:val="00DD5C5E"/>
    <w:rsid w:val="00DD66F0"/>
    <w:rsid w:val="00DD69FE"/>
    <w:rsid w:val="00DD72E8"/>
    <w:rsid w:val="00DD7584"/>
    <w:rsid w:val="00DE009D"/>
    <w:rsid w:val="00DE098F"/>
    <w:rsid w:val="00DE0E55"/>
    <w:rsid w:val="00DE1DCE"/>
    <w:rsid w:val="00DE2225"/>
    <w:rsid w:val="00DE2372"/>
    <w:rsid w:val="00DE243C"/>
    <w:rsid w:val="00DE2463"/>
    <w:rsid w:val="00DE29E2"/>
    <w:rsid w:val="00DE2F65"/>
    <w:rsid w:val="00DE357F"/>
    <w:rsid w:val="00DE3940"/>
    <w:rsid w:val="00DE3A76"/>
    <w:rsid w:val="00DE41FB"/>
    <w:rsid w:val="00DE447D"/>
    <w:rsid w:val="00DE447E"/>
    <w:rsid w:val="00DE4495"/>
    <w:rsid w:val="00DE4D5A"/>
    <w:rsid w:val="00DE4DC8"/>
    <w:rsid w:val="00DE4F63"/>
    <w:rsid w:val="00DE53C2"/>
    <w:rsid w:val="00DE5C6B"/>
    <w:rsid w:val="00DE5D7A"/>
    <w:rsid w:val="00DE5E2D"/>
    <w:rsid w:val="00DE69E8"/>
    <w:rsid w:val="00DE6B34"/>
    <w:rsid w:val="00DE70ED"/>
    <w:rsid w:val="00DE72E4"/>
    <w:rsid w:val="00DE7546"/>
    <w:rsid w:val="00DE791A"/>
    <w:rsid w:val="00DE79D4"/>
    <w:rsid w:val="00DE7C6C"/>
    <w:rsid w:val="00DF0151"/>
    <w:rsid w:val="00DF0336"/>
    <w:rsid w:val="00DF0F3F"/>
    <w:rsid w:val="00DF0FBC"/>
    <w:rsid w:val="00DF10D4"/>
    <w:rsid w:val="00DF16B7"/>
    <w:rsid w:val="00DF1786"/>
    <w:rsid w:val="00DF1C5D"/>
    <w:rsid w:val="00DF1E73"/>
    <w:rsid w:val="00DF29C1"/>
    <w:rsid w:val="00DF308C"/>
    <w:rsid w:val="00DF3178"/>
    <w:rsid w:val="00DF37FE"/>
    <w:rsid w:val="00DF58CD"/>
    <w:rsid w:val="00DF5AB3"/>
    <w:rsid w:val="00DF5D41"/>
    <w:rsid w:val="00DF6C51"/>
    <w:rsid w:val="00DF6FD2"/>
    <w:rsid w:val="00DF77E9"/>
    <w:rsid w:val="00DF7859"/>
    <w:rsid w:val="00DF7CCC"/>
    <w:rsid w:val="00E00706"/>
    <w:rsid w:val="00E00C21"/>
    <w:rsid w:val="00E00FB3"/>
    <w:rsid w:val="00E013EE"/>
    <w:rsid w:val="00E01860"/>
    <w:rsid w:val="00E019F5"/>
    <w:rsid w:val="00E02A5B"/>
    <w:rsid w:val="00E02AE0"/>
    <w:rsid w:val="00E02B07"/>
    <w:rsid w:val="00E02EBF"/>
    <w:rsid w:val="00E03813"/>
    <w:rsid w:val="00E03898"/>
    <w:rsid w:val="00E04032"/>
    <w:rsid w:val="00E048FE"/>
    <w:rsid w:val="00E04D3D"/>
    <w:rsid w:val="00E053E8"/>
    <w:rsid w:val="00E05D9A"/>
    <w:rsid w:val="00E062D1"/>
    <w:rsid w:val="00E06579"/>
    <w:rsid w:val="00E069C7"/>
    <w:rsid w:val="00E075FA"/>
    <w:rsid w:val="00E076BA"/>
    <w:rsid w:val="00E101B6"/>
    <w:rsid w:val="00E10634"/>
    <w:rsid w:val="00E10823"/>
    <w:rsid w:val="00E10FA7"/>
    <w:rsid w:val="00E111B2"/>
    <w:rsid w:val="00E12038"/>
    <w:rsid w:val="00E123F9"/>
    <w:rsid w:val="00E125D8"/>
    <w:rsid w:val="00E12635"/>
    <w:rsid w:val="00E129DC"/>
    <w:rsid w:val="00E131BD"/>
    <w:rsid w:val="00E14234"/>
    <w:rsid w:val="00E1475F"/>
    <w:rsid w:val="00E14ADB"/>
    <w:rsid w:val="00E15394"/>
    <w:rsid w:val="00E16676"/>
    <w:rsid w:val="00E16908"/>
    <w:rsid w:val="00E16E48"/>
    <w:rsid w:val="00E16EAC"/>
    <w:rsid w:val="00E17035"/>
    <w:rsid w:val="00E175EE"/>
    <w:rsid w:val="00E17CF8"/>
    <w:rsid w:val="00E20D04"/>
    <w:rsid w:val="00E21108"/>
    <w:rsid w:val="00E21515"/>
    <w:rsid w:val="00E2190D"/>
    <w:rsid w:val="00E21DE4"/>
    <w:rsid w:val="00E22878"/>
    <w:rsid w:val="00E2298D"/>
    <w:rsid w:val="00E231B6"/>
    <w:rsid w:val="00E231B9"/>
    <w:rsid w:val="00E23394"/>
    <w:rsid w:val="00E2344C"/>
    <w:rsid w:val="00E236A0"/>
    <w:rsid w:val="00E23756"/>
    <w:rsid w:val="00E23A1E"/>
    <w:rsid w:val="00E24143"/>
    <w:rsid w:val="00E2447C"/>
    <w:rsid w:val="00E2466D"/>
    <w:rsid w:val="00E24A75"/>
    <w:rsid w:val="00E259CC"/>
    <w:rsid w:val="00E25E72"/>
    <w:rsid w:val="00E26BE5"/>
    <w:rsid w:val="00E26EAB"/>
    <w:rsid w:val="00E27CF1"/>
    <w:rsid w:val="00E27D43"/>
    <w:rsid w:val="00E30839"/>
    <w:rsid w:val="00E30FFB"/>
    <w:rsid w:val="00E316D7"/>
    <w:rsid w:val="00E31F19"/>
    <w:rsid w:val="00E32502"/>
    <w:rsid w:val="00E33813"/>
    <w:rsid w:val="00E33CAB"/>
    <w:rsid w:val="00E33D55"/>
    <w:rsid w:val="00E34816"/>
    <w:rsid w:val="00E34B7E"/>
    <w:rsid w:val="00E352F5"/>
    <w:rsid w:val="00E35406"/>
    <w:rsid w:val="00E3583A"/>
    <w:rsid w:val="00E3583F"/>
    <w:rsid w:val="00E358AE"/>
    <w:rsid w:val="00E35DFF"/>
    <w:rsid w:val="00E3605A"/>
    <w:rsid w:val="00E362A9"/>
    <w:rsid w:val="00E36949"/>
    <w:rsid w:val="00E36DF8"/>
    <w:rsid w:val="00E375B6"/>
    <w:rsid w:val="00E401F3"/>
    <w:rsid w:val="00E40335"/>
    <w:rsid w:val="00E4068F"/>
    <w:rsid w:val="00E410EC"/>
    <w:rsid w:val="00E41883"/>
    <w:rsid w:val="00E42530"/>
    <w:rsid w:val="00E42EDD"/>
    <w:rsid w:val="00E42F49"/>
    <w:rsid w:val="00E43485"/>
    <w:rsid w:val="00E435F6"/>
    <w:rsid w:val="00E43828"/>
    <w:rsid w:val="00E43C17"/>
    <w:rsid w:val="00E43C81"/>
    <w:rsid w:val="00E43C94"/>
    <w:rsid w:val="00E4432A"/>
    <w:rsid w:val="00E444B9"/>
    <w:rsid w:val="00E44853"/>
    <w:rsid w:val="00E44978"/>
    <w:rsid w:val="00E449FC"/>
    <w:rsid w:val="00E4541A"/>
    <w:rsid w:val="00E456BB"/>
    <w:rsid w:val="00E47107"/>
    <w:rsid w:val="00E47153"/>
    <w:rsid w:val="00E4730C"/>
    <w:rsid w:val="00E474B1"/>
    <w:rsid w:val="00E47E33"/>
    <w:rsid w:val="00E50598"/>
    <w:rsid w:val="00E505CD"/>
    <w:rsid w:val="00E508A7"/>
    <w:rsid w:val="00E50A79"/>
    <w:rsid w:val="00E50C98"/>
    <w:rsid w:val="00E50E8A"/>
    <w:rsid w:val="00E511E6"/>
    <w:rsid w:val="00E5175F"/>
    <w:rsid w:val="00E51AEA"/>
    <w:rsid w:val="00E51BAB"/>
    <w:rsid w:val="00E52524"/>
    <w:rsid w:val="00E534B2"/>
    <w:rsid w:val="00E53521"/>
    <w:rsid w:val="00E539CD"/>
    <w:rsid w:val="00E53F93"/>
    <w:rsid w:val="00E54801"/>
    <w:rsid w:val="00E5498D"/>
    <w:rsid w:val="00E54C91"/>
    <w:rsid w:val="00E54D79"/>
    <w:rsid w:val="00E54EF1"/>
    <w:rsid w:val="00E553DF"/>
    <w:rsid w:val="00E5585D"/>
    <w:rsid w:val="00E55E12"/>
    <w:rsid w:val="00E563CB"/>
    <w:rsid w:val="00E5644D"/>
    <w:rsid w:val="00E56AA1"/>
    <w:rsid w:val="00E56B61"/>
    <w:rsid w:val="00E56CDF"/>
    <w:rsid w:val="00E56E52"/>
    <w:rsid w:val="00E5773B"/>
    <w:rsid w:val="00E6015F"/>
    <w:rsid w:val="00E605C9"/>
    <w:rsid w:val="00E60887"/>
    <w:rsid w:val="00E60E4A"/>
    <w:rsid w:val="00E612A9"/>
    <w:rsid w:val="00E61365"/>
    <w:rsid w:val="00E614DE"/>
    <w:rsid w:val="00E61EA0"/>
    <w:rsid w:val="00E61FAA"/>
    <w:rsid w:val="00E62BA2"/>
    <w:rsid w:val="00E6316F"/>
    <w:rsid w:val="00E63198"/>
    <w:rsid w:val="00E633A7"/>
    <w:rsid w:val="00E64106"/>
    <w:rsid w:val="00E64861"/>
    <w:rsid w:val="00E648F7"/>
    <w:rsid w:val="00E6539C"/>
    <w:rsid w:val="00E65B5D"/>
    <w:rsid w:val="00E65D41"/>
    <w:rsid w:val="00E65E6A"/>
    <w:rsid w:val="00E66212"/>
    <w:rsid w:val="00E66549"/>
    <w:rsid w:val="00E6671C"/>
    <w:rsid w:val="00E66A06"/>
    <w:rsid w:val="00E66B50"/>
    <w:rsid w:val="00E66B5E"/>
    <w:rsid w:val="00E66ECA"/>
    <w:rsid w:val="00E66FFE"/>
    <w:rsid w:val="00E6779B"/>
    <w:rsid w:val="00E7015E"/>
    <w:rsid w:val="00E70556"/>
    <w:rsid w:val="00E70C6F"/>
    <w:rsid w:val="00E70F2F"/>
    <w:rsid w:val="00E71096"/>
    <w:rsid w:val="00E713AF"/>
    <w:rsid w:val="00E7164A"/>
    <w:rsid w:val="00E7293C"/>
    <w:rsid w:val="00E72BCE"/>
    <w:rsid w:val="00E72E49"/>
    <w:rsid w:val="00E73000"/>
    <w:rsid w:val="00E733CF"/>
    <w:rsid w:val="00E73D9C"/>
    <w:rsid w:val="00E749DE"/>
    <w:rsid w:val="00E75472"/>
    <w:rsid w:val="00E757F7"/>
    <w:rsid w:val="00E7585C"/>
    <w:rsid w:val="00E7588E"/>
    <w:rsid w:val="00E75EB4"/>
    <w:rsid w:val="00E760E3"/>
    <w:rsid w:val="00E76566"/>
    <w:rsid w:val="00E76652"/>
    <w:rsid w:val="00E7715F"/>
    <w:rsid w:val="00E77E19"/>
    <w:rsid w:val="00E801D1"/>
    <w:rsid w:val="00E80A9C"/>
    <w:rsid w:val="00E812FE"/>
    <w:rsid w:val="00E81733"/>
    <w:rsid w:val="00E8197A"/>
    <w:rsid w:val="00E81A5E"/>
    <w:rsid w:val="00E81C59"/>
    <w:rsid w:val="00E81D2D"/>
    <w:rsid w:val="00E824F5"/>
    <w:rsid w:val="00E825DB"/>
    <w:rsid w:val="00E8269B"/>
    <w:rsid w:val="00E82A74"/>
    <w:rsid w:val="00E83AF4"/>
    <w:rsid w:val="00E83D52"/>
    <w:rsid w:val="00E83D81"/>
    <w:rsid w:val="00E84268"/>
    <w:rsid w:val="00E843D0"/>
    <w:rsid w:val="00E843E2"/>
    <w:rsid w:val="00E847E2"/>
    <w:rsid w:val="00E84DFE"/>
    <w:rsid w:val="00E854CC"/>
    <w:rsid w:val="00E857F3"/>
    <w:rsid w:val="00E85958"/>
    <w:rsid w:val="00E85C86"/>
    <w:rsid w:val="00E86F42"/>
    <w:rsid w:val="00E87334"/>
    <w:rsid w:val="00E8751E"/>
    <w:rsid w:val="00E87AEC"/>
    <w:rsid w:val="00E87C97"/>
    <w:rsid w:val="00E9051B"/>
    <w:rsid w:val="00E905B2"/>
    <w:rsid w:val="00E905DB"/>
    <w:rsid w:val="00E90648"/>
    <w:rsid w:val="00E90CC2"/>
    <w:rsid w:val="00E9235E"/>
    <w:rsid w:val="00E92854"/>
    <w:rsid w:val="00E92D71"/>
    <w:rsid w:val="00E9338B"/>
    <w:rsid w:val="00E93834"/>
    <w:rsid w:val="00E946F1"/>
    <w:rsid w:val="00E94B08"/>
    <w:rsid w:val="00E94B15"/>
    <w:rsid w:val="00E94BDB"/>
    <w:rsid w:val="00E952BC"/>
    <w:rsid w:val="00E95306"/>
    <w:rsid w:val="00E95A41"/>
    <w:rsid w:val="00E95C02"/>
    <w:rsid w:val="00E95C9F"/>
    <w:rsid w:val="00E96053"/>
    <w:rsid w:val="00E9676F"/>
    <w:rsid w:val="00E978E2"/>
    <w:rsid w:val="00EA008D"/>
    <w:rsid w:val="00EA0334"/>
    <w:rsid w:val="00EA034C"/>
    <w:rsid w:val="00EA0456"/>
    <w:rsid w:val="00EA0778"/>
    <w:rsid w:val="00EA09EF"/>
    <w:rsid w:val="00EA0DE8"/>
    <w:rsid w:val="00EA11D7"/>
    <w:rsid w:val="00EA1442"/>
    <w:rsid w:val="00EA14BF"/>
    <w:rsid w:val="00EA289B"/>
    <w:rsid w:val="00EA28D9"/>
    <w:rsid w:val="00EA33A3"/>
    <w:rsid w:val="00EA33E6"/>
    <w:rsid w:val="00EA3F78"/>
    <w:rsid w:val="00EA4131"/>
    <w:rsid w:val="00EA414B"/>
    <w:rsid w:val="00EA4170"/>
    <w:rsid w:val="00EA476F"/>
    <w:rsid w:val="00EA4DB3"/>
    <w:rsid w:val="00EA51B7"/>
    <w:rsid w:val="00EA569A"/>
    <w:rsid w:val="00EA5ED7"/>
    <w:rsid w:val="00EA6A97"/>
    <w:rsid w:val="00EA6D23"/>
    <w:rsid w:val="00EA7225"/>
    <w:rsid w:val="00EA7929"/>
    <w:rsid w:val="00EA7C44"/>
    <w:rsid w:val="00EA7DB1"/>
    <w:rsid w:val="00EB0258"/>
    <w:rsid w:val="00EB0CFF"/>
    <w:rsid w:val="00EB1392"/>
    <w:rsid w:val="00EB14B2"/>
    <w:rsid w:val="00EB1550"/>
    <w:rsid w:val="00EB1FEB"/>
    <w:rsid w:val="00EB21DB"/>
    <w:rsid w:val="00EB231E"/>
    <w:rsid w:val="00EB2891"/>
    <w:rsid w:val="00EB33ED"/>
    <w:rsid w:val="00EB3E92"/>
    <w:rsid w:val="00EB3F49"/>
    <w:rsid w:val="00EB43B1"/>
    <w:rsid w:val="00EB43B9"/>
    <w:rsid w:val="00EB4462"/>
    <w:rsid w:val="00EB46A1"/>
    <w:rsid w:val="00EB4FCB"/>
    <w:rsid w:val="00EB514F"/>
    <w:rsid w:val="00EB6518"/>
    <w:rsid w:val="00EB6AC4"/>
    <w:rsid w:val="00EB7507"/>
    <w:rsid w:val="00EB79BE"/>
    <w:rsid w:val="00EB7A72"/>
    <w:rsid w:val="00EB7BAB"/>
    <w:rsid w:val="00EB7C27"/>
    <w:rsid w:val="00EB7C45"/>
    <w:rsid w:val="00EB7DCD"/>
    <w:rsid w:val="00EB7EB1"/>
    <w:rsid w:val="00EC0917"/>
    <w:rsid w:val="00EC1082"/>
    <w:rsid w:val="00EC10BD"/>
    <w:rsid w:val="00EC1181"/>
    <w:rsid w:val="00EC21EB"/>
    <w:rsid w:val="00EC22BF"/>
    <w:rsid w:val="00EC2C23"/>
    <w:rsid w:val="00EC3023"/>
    <w:rsid w:val="00EC3416"/>
    <w:rsid w:val="00EC38F9"/>
    <w:rsid w:val="00EC40E6"/>
    <w:rsid w:val="00EC43A4"/>
    <w:rsid w:val="00EC57B5"/>
    <w:rsid w:val="00EC5B25"/>
    <w:rsid w:val="00EC5BA6"/>
    <w:rsid w:val="00EC5C63"/>
    <w:rsid w:val="00EC6168"/>
    <w:rsid w:val="00EC70A8"/>
    <w:rsid w:val="00EC70E6"/>
    <w:rsid w:val="00EC714E"/>
    <w:rsid w:val="00EC7183"/>
    <w:rsid w:val="00EC71CE"/>
    <w:rsid w:val="00EC7BA0"/>
    <w:rsid w:val="00EC7CD4"/>
    <w:rsid w:val="00ED00E8"/>
    <w:rsid w:val="00ED0737"/>
    <w:rsid w:val="00ED0A00"/>
    <w:rsid w:val="00ED0DE6"/>
    <w:rsid w:val="00ED120F"/>
    <w:rsid w:val="00ED1466"/>
    <w:rsid w:val="00ED1A36"/>
    <w:rsid w:val="00ED1BA0"/>
    <w:rsid w:val="00ED1DB9"/>
    <w:rsid w:val="00ED1FC5"/>
    <w:rsid w:val="00ED21D4"/>
    <w:rsid w:val="00ED2900"/>
    <w:rsid w:val="00ED2942"/>
    <w:rsid w:val="00ED2A7F"/>
    <w:rsid w:val="00ED301F"/>
    <w:rsid w:val="00ED31D7"/>
    <w:rsid w:val="00ED3391"/>
    <w:rsid w:val="00ED39DF"/>
    <w:rsid w:val="00ED3AC8"/>
    <w:rsid w:val="00ED4AFB"/>
    <w:rsid w:val="00ED4C89"/>
    <w:rsid w:val="00ED4E42"/>
    <w:rsid w:val="00ED5315"/>
    <w:rsid w:val="00ED54BC"/>
    <w:rsid w:val="00ED679F"/>
    <w:rsid w:val="00ED67CD"/>
    <w:rsid w:val="00ED6BE8"/>
    <w:rsid w:val="00ED70DF"/>
    <w:rsid w:val="00ED7AEB"/>
    <w:rsid w:val="00EE03A4"/>
    <w:rsid w:val="00EE0633"/>
    <w:rsid w:val="00EE09AE"/>
    <w:rsid w:val="00EE0CB4"/>
    <w:rsid w:val="00EE0D7B"/>
    <w:rsid w:val="00EE0DA7"/>
    <w:rsid w:val="00EE0F10"/>
    <w:rsid w:val="00EE133C"/>
    <w:rsid w:val="00EE2670"/>
    <w:rsid w:val="00EE2E85"/>
    <w:rsid w:val="00EE34A7"/>
    <w:rsid w:val="00EE370B"/>
    <w:rsid w:val="00EE3B94"/>
    <w:rsid w:val="00EE3C29"/>
    <w:rsid w:val="00EE3C71"/>
    <w:rsid w:val="00EE4431"/>
    <w:rsid w:val="00EE4A3F"/>
    <w:rsid w:val="00EE5893"/>
    <w:rsid w:val="00EE604A"/>
    <w:rsid w:val="00EE69B4"/>
    <w:rsid w:val="00EE69F4"/>
    <w:rsid w:val="00EE6A1D"/>
    <w:rsid w:val="00EE6B40"/>
    <w:rsid w:val="00EE6BFB"/>
    <w:rsid w:val="00EE6E37"/>
    <w:rsid w:val="00EE6FAC"/>
    <w:rsid w:val="00EE70ED"/>
    <w:rsid w:val="00EE7D06"/>
    <w:rsid w:val="00EE7E40"/>
    <w:rsid w:val="00EF058D"/>
    <w:rsid w:val="00EF063A"/>
    <w:rsid w:val="00EF07B2"/>
    <w:rsid w:val="00EF0DB9"/>
    <w:rsid w:val="00EF0F73"/>
    <w:rsid w:val="00EF1A09"/>
    <w:rsid w:val="00EF1AE9"/>
    <w:rsid w:val="00EF1BE6"/>
    <w:rsid w:val="00EF1E46"/>
    <w:rsid w:val="00EF2847"/>
    <w:rsid w:val="00EF363E"/>
    <w:rsid w:val="00EF3BC2"/>
    <w:rsid w:val="00EF3CBA"/>
    <w:rsid w:val="00EF3CDB"/>
    <w:rsid w:val="00EF3DBB"/>
    <w:rsid w:val="00EF3E75"/>
    <w:rsid w:val="00EF4409"/>
    <w:rsid w:val="00EF467D"/>
    <w:rsid w:val="00EF474F"/>
    <w:rsid w:val="00EF548F"/>
    <w:rsid w:val="00EF559E"/>
    <w:rsid w:val="00EF5A9D"/>
    <w:rsid w:val="00EF5D3D"/>
    <w:rsid w:val="00EF6137"/>
    <w:rsid w:val="00EF6194"/>
    <w:rsid w:val="00EF6DD5"/>
    <w:rsid w:val="00EF70A3"/>
    <w:rsid w:val="00EF7653"/>
    <w:rsid w:val="00EF7F94"/>
    <w:rsid w:val="00F01488"/>
    <w:rsid w:val="00F01B6E"/>
    <w:rsid w:val="00F02228"/>
    <w:rsid w:val="00F023C3"/>
    <w:rsid w:val="00F02CF9"/>
    <w:rsid w:val="00F02F66"/>
    <w:rsid w:val="00F0313E"/>
    <w:rsid w:val="00F03680"/>
    <w:rsid w:val="00F0378E"/>
    <w:rsid w:val="00F03D4F"/>
    <w:rsid w:val="00F04041"/>
    <w:rsid w:val="00F04049"/>
    <w:rsid w:val="00F044A3"/>
    <w:rsid w:val="00F04702"/>
    <w:rsid w:val="00F05D28"/>
    <w:rsid w:val="00F06065"/>
    <w:rsid w:val="00F06816"/>
    <w:rsid w:val="00F06EDE"/>
    <w:rsid w:val="00F072B4"/>
    <w:rsid w:val="00F075B6"/>
    <w:rsid w:val="00F07A6F"/>
    <w:rsid w:val="00F07BC9"/>
    <w:rsid w:val="00F07E03"/>
    <w:rsid w:val="00F07F52"/>
    <w:rsid w:val="00F1091F"/>
    <w:rsid w:val="00F10D39"/>
    <w:rsid w:val="00F1191E"/>
    <w:rsid w:val="00F11BCC"/>
    <w:rsid w:val="00F122F4"/>
    <w:rsid w:val="00F123FE"/>
    <w:rsid w:val="00F12908"/>
    <w:rsid w:val="00F1295E"/>
    <w:rsid w:val="00F13300"/>
    <w:rsid w:val="00F138EF"/>
    <w:rsid w:val="00F140F5"/>
    <w:rsid w:val="00F140F7"/>
    <w:rsid w:val="00F141CB"/>
    <w:rsid w:val="00F14441"/>
    <w:rsid w:val="00F14528"/>
    <w:rsid w:val="00F14564"/>
    <w:rsid w:val="00F14F70"/>
    <w:rsid w:val="00F151CB"/>
    <w:rsid w:val="00F15643"/>
    <w:rsid w:val="00F15BC1"/>
    <w:rsid w:val="00F15C44"/>
    <w:rsid w:val="00F160FA"/>
    <w:rsid w:val="00F16178"/>
    <w:rsid w:val="00F17847"/>
    <w:rsid w:val="00F20274"/>
    <w:rsid w:val="00F2091A"/>
    <w:rsid w:val="00F20AFD"/>
    <w:rsid w:val="00F21B73"/>
    <w:rsid w:val="00F2235D"/>
    <w:rsid w:val="00F2246A"/>
    <w:rsid w:val="00F22842"/>
    <w:rsid w:val="00F24B61"/>
    <w:rsid w:val="00F2502E"/>
    <w:rsid w:val="00F25739"/>
    <w:rsid w:val="00F25FD2"/>
    <w:rsid w:val="00F2632A"/>
    <w:rsid w:val="00F264E0"/>
    <w:rsid w:val="00F275B8"/>
    <w:rsid w:val="00F27FD6"/>
    <w:rsid w:val="00F30B51"/>
    <w:rsid w:val="00F30FF5"/>
    <w:rsid w:val="00F311A5"/>
    <w:rsid w:val="00F31300"/>
    <w:rsid w:val="00F320D2"/>
    <w:rsid w:val="00F32381"/>
    <w:rsid w:val="00F324C4"/>
    <w:rsid w:val="00F32587"/>
    <w:rsid w:val="00F32FF0"/>
    <w:rsid w:val="00F33486"/>
    <w:rsid w:val="00F3360B"/>
    <w:rsid w:val="00F3362E"/>
    <w:rsid w:val="00F3374E"/>
    <w:rsid w:val="00F337DD"/>
    <w:rsid w:val="00F33977"/>
    <w:rsid w:val="00F33CFA"/>
    <w:rsid w:val="00F33D44"/>
    <w:rsid w:val="00F33D7A"/>
    <w:rsid w:val="00F3428F"/>
    <w:rsid w:val="00F34E7C"/>
    <w:rsid w:val="00F3523F"/>
    <w:rsid w:val="00F357DD"/>
    <w:rsid w:val="00F35D97"/>
    <w:rsid w:val="00F35E5C"/>
    <w:rsid w:val="00F35EFB"/>
    <w:rsid w:val="00F3605D"/>
    <w:rsid w:val="00F360C7"/>
    <w:rsid w:val="00F37523"/>
    <w:rsid w:val="00F40495"/>
    <w:rsid w:val="00F40F7D"/>
    <w:rsid w:val="00F41680"/>
    <w:rsid w:val="00F416EB"/>
    <w:rsid w:val="00F41AD3"/>
    <w:rsid w:val="00F426BF"/>
    <w:rsid w:val="00F42714"/>
    <w:rsid w:val="00F42B10"/>
    <w:rsid w:val="00F42CCD"/>
    <w:rsid w:val="00F42CD4"/>
    <w:rsid w:val="00F4376A"/>
    <w:rsid w:val="00F43CB6"/>
    <w:rsid w:val="00F43CDE"/>
    <w:rsid w:val="00F43DD7"/>
    <w:rsid w:val="00F43E0E"/>
    <w:rsid w:val="00F4496D"/>
    <w:rsid w:val="00F44AEB"/>
    <w:rsid w:val="00F44CB0"/>
    <w:rsid w:val="00F44D01"/>
    <w:rsid w:val="00F44DC3"/>
    <w:rsid w:val="00F4504D"/>
    <w:rsid w:val="00F451C9"/>
    <w:rsid w:val="00F4529A"/>
    <w:rsid w:val="00F46010"/>
    <w:rsid w:val="00F4604A"/>
    <w:rsid w:val="00F461DC"/>
    <w:rsid w:val="00F46444"/>
    <w:rsid w:val="00F46932"/>
    <w:rsid w:val="00F46B97"/>
    <w:rsid w:val="00F47380"/>
    <w:rsid w:val="00F500EC"/>
    <w:rsid w:val="00F5018B"/>
    <w:rsid w:val="00F5023E"/>
    <w:rsid w:val="00F506C6"/>
    <w:rsid w:val="00F50B6E"/>
    <w:rsid w:val="00F51201"/>
    <w:rsid w:val="00F51C1B"/>
    <w:rsid w:val="00F5281B"/>
    <w:rsid w:val="00F53490"/>
    <w:rsid w:val="00F53F08"/>
    <w:rsid w:val="00F54156"/>
    <w:rsid w:val="00F541BD"/>
    <w:rsid w:val="00F543FA"/>
    <w:rsid w:val="00F546EC"/>
    <w:rsid w:val="00F54A96"/>
    <w:rsid w:val="00F5501D"/>
    <w:rsid w:val="00F55361"/>
    <w:rsid w:val="00F553AC"/>
    <w:rsid w:val="00F556ED"/>
    <w:rsid w:val="00F55E72"/>
    <w:rsid w:val="00F56171"/>
    <w:rsid w:val="00F56644"/>
    <w:rsid w:val="00F56A84"/>
    <w:rsid w:val="00F56B1F"/>
    <w:rsid w:val="00F5707C"/>
    <w:rsid w:val="00F572DD"/>
    <w:rsid w:val="00F579B5"/>
    <w:rsid w:val="00F579F9"/>
    <w:rsid w:val="00F57ABD"/>
    <w:rsid w:val="00F600F2"/>
    <w:rsid w:val="00F60336"/>
    <w:rsid w:val="00F607EE"/>
    <w:rsid w:val="00F60DC0"/>
    <w:rsid w:val="00F614B2"/>
    <w:rsid w:val="00F61BC9"/>
    <w:rsid w:val="00F628E3"/>
    <w:rsid w:val="00F62DBD"/>
    <w:rsid w:val="00F62E11"/>
    <w:rsid w:val="00F63653"/>
    <w:rsid w:val="00F636E8"/>
    <w:rsid w:val="00F63EF0"/>
    <w:rsid w:val="00F6417D"/>
    <w:rsid w:val="00F6450D"/>
    <w:rsid w:val="00F64912"/>
    <w:rsid w:val="00F64A1D"/>
    <w:rsid w:val="00F64AFB"/>
    <w:rsid w:val="00F6562A"/>
    <w:rsid w:val="00F663D4"/>
    <w:rsid w:val="00F67192"/>
    <w:rsid w:val="00F6748F"/>
    <w:rsid w:val="00F67997"/>
    <w:rsid w:val="00F67AAE"/>
    <w:rsid w:val="00F70115"/>
    <w:rsid w:val="00F7032D"/>
    <w:rsid w:val="00F71FAD"/>
    <w:rsid w:val="00F7270F"/>
    <w:rsid w:val="00F7282F"/>
    <w:rsid w:val="00F72EAE"/>
    <w:rsid w:val="00F734DC"/>
    <w:rsid w:val="00F737FD"/>
    <w:rsid w:val="00F73E2F"/>
    <w:rsid w:val="00F74252"/>
    <w:rsid w:val="00F7460D"/>
    <w:rsid w:val="00F74D7C"/>
    <w:rsid w:val="00F75215"/>
    <w:rsid w:val="00F75307"/>
    <w:rsid w:val="00F7574C"/>
    <w:rsid w:val="00F75C2C"/>
    <w:rsid w:val="00F7665F"/>
    <w:rsid w:val="00F76A5E"/>
    <w:rsid w:val="00F76A83"/>
    <w:rsid w:val="00F7761A"/>
    <w:rsid w:val="00F776EB"/>
    <w:rsid w:val="00F80C20"/>
    <w:rsid w:val="00F8101E"/>
    <w:rsid w:val="00F813D4"/>
    <w:rsid w:val="00F82753"/>
    <w:rsid w:val="00F82CE6"/>
    <w:rsid w:val="00F8317C"/>
    <w:rsid w:val="00F831CE"/>
    <w:rsid w:val="00F83935"/>
    <w:rsid w:val="00F83A81"/>
    <w:rsid w:val="00F83F93"/>
    <w:rsid w:val="00F846B6"/>
    <w:rsid w:val="00F850D3"/>
    <w:rsid w:val="00F85705"/>
    <w:rsid w:val="00F85B55"/>
    <w:rsid w:val="00F866E8"/>
    <w:rsid w:val="00F8737C"/>
    <w:rsid w:val="00F87453"/>
    <w:rsid w:val="00F876E2"/>
    <w:rsid w:val="00F877B6"/>
    <w:rsid w:val="00F87E49"/>
    <w:rsid w:val="00F87EB2"/>
    <w:rsid w:val="00F90458"/>
    <w:rsid w:val="00F9064D"/>
    <w:rsid w:val="00F90966"/>
    <w:rsid w:val="00F90BBF"/>
    <w:rsid w:val="00F911B8"/>
    <w:rsid w:val="00F91633"/>
    <w:rsid w:val="00F91899"/>
    <w:rsid w:val="00F918C9"/>
    <w:rsid w:val="00F91A55"/>
    <w:rsid w:val="00F91C07"/>
    <w:rsid w:val="00F920BC"/>
    <w:rsid w:val="00F926C4"/>
    <w:rsid w:val="00F92C1E"/>
    <w:rsid w:val="00F9356B"/>
    <w:rsid w:val="00F936A6"/>
    <w:rsid w:val="00F93B90"/>
    <w:rsid w:val="00F93D2D"/>
    <w:rsid w:val="00F94390"/>
    <w:rsid w:val="00F95162"/>
    <w:rsid w:val="00F9563D"/>
    <w:rsid w:val="00F95E6A"/>
    <w:rsid w:val="00F95EBE"/>
    <w:rsid w:val="00F9645B"/>
    <w:rsid w:val="00F96CC4"/>
    <w:rsid w:val="00F9706F"/>
    <w:rsid w:val="00F975F0"/>
    <w:rsid w:val="00F97753"/>
    <w:rsid w:val="00F977A4"/>
    <w:rsid w:val="00F97E3B"/>
    <w:rsid w:val="00F97E48"/>
    <w:rsid w:val="00FA02F6"/>
    <w:rsid w:val="00FA0346"/>
    <w:rsid w:val="00FA0D65"/>
    <w:rsid w:val="00FA0E61"/>
    <w:rsid w:val="00FA1283"/>
    <w:rsid w:val="00FA2699"/>
    <w:rsid w:val="00FA285A"/>
    <w:rsid w:val="00FA2A98"/>
    <w:rsid w:val="00FA2E6A"/>
    <w:rsid w:val="00FA2FA2"/>
    <w:rsid w:val="00FA30BB"/>
    <w:rsid w:val="00FA311F"/>
    <w:rsid w:val="00FA32C6"/>
    <w:rsid w:val="00FA37B0"/>
    <w:rsid w:val="00FA49CA"/>
    <w:rsid w:val="00FA4DF9"/>
    <w:rsid w:val="00FA5129"/>
    <w:rsid w:val="00FA543C"/>
    <w:rsid w:val="00FA57D8"/>
    <w:rsid w:val="00FA5A87"/>
    <w:rsid w:val="00FA6963"/>
    <w:rsid w:val="00FA6A6C"/>
    <w:rsid w:val="00FA7553"/>
    <w:rsid w:val="00FA79D5"/>
    <w:rsid w:val="00FB067F"/>
    <w:rsid w:val="00FB07E8"/>
    <w:rsid w:val="00FB0DC0"/>
    <w:rsid w:val="00FB1ADA"/>
    <w:rsid w:val="00FB1E5D"/>
    <w:rsid w:val="00FB21BD"/>
    <w:rsid w:val="00FB29AD"/>
    <w:rsid w:val="00FB338C"/>
    <w:rsid w:val="00FB3A88"/>
    <w:rsid w:val="00FB41F8"/>
    <w:rsid w:val="00FB42D7"/>
    <w:rsid w:val="00FB4F18"/>
    <w:rsid w:val="00FB506F"/>
    <w:rsid w:val="00FB58E2"/>
    <w:rsid w:val="00FB5C1C"/>
    <w:rsid w:val="00FB5D3C"/>
    <w:rsid w:val="00FB69BD"/>
    <w:rsid w:val="00FB70E9"/>
    <w:rsid w:val="00FB71C7"/>
    <w:rsid w:val="00FB7351"/>
    <w:rsid w:val="00FB7668"/>
    <w:rsid w:val="00FB786E"/>
    <w:rsid w:val="00FB79E3"/>
    <w:rsid w:val="00FB7B77"/>
    <w:rsid w:val="00FC00AC"/>
    <w:rsid w:val="00FC0149"/>
    <w:rsid w:val="00FC068D"/>
    <w:rsid w:val="00FC0D58"/>
    <w:rsid w:val="00FC0D9D"/>
    <w:rsid w:val="00FC1234"/>
    <w:rsid w:val="00FC1646"/>
    <w:rsid w:val="00FC1DCD"/>
    <w:rsid w:val="00FC2808"/>
    <w:rsid w:val="00FC2C41"/>
    <w:rsid w:val="00FC32F0"/>
    <w:rsid w:val="00FC33F0"/>
    <w:rsid w:val="00FC3BA6"/>
    <w:rsid w:val="00FC3E69"/>
    <w:rsid w:val="00FC4C60"/>
    <w:rsid w:val="00FC4F9A"/>
    <w:rsid w:val="00FC5793"/>
    <w:rsid w:val="00FC5C99"/>
    <w:rsid w:val="00FC5DCF"/>
    <w:rsid w:val="00FC755D"/>
    <w:rsid w:val="00FC7948"/>
    <w:rsid w:val="00FC7C03"/>
    <w:rsid w:val="00FC7FD1"/>
    <w:rsid w:val="00FD1F1A"/>
    <w:rsid w:val="00FD2197"/>
    <w:rsid w:val="00FD221C"/>
    <w:rsid w:val="00FD315B"/>
    <w:rsid w:val="00FD3185"/>
    <w:rsid w:val="00FD423F"/>
    <w:rsid w:val="00FD4BC2"/>
    <w:rsid w:val="00FD4DFA"/>
    <w:rsid w:val="00FD4E13"/>
    <w:rsid w:val="00FD530B"/>
    <w:rsid w:val="00FD62F4"/>
    <w:rsid w:val="00FD6333"/>
    <w:rsid w:val="00FD7818"/>
    <w:rsid w:val="00FD7EA8"/>
    <w:rsid w:val="00FE03C9"/>
    <w:rsid w:val="00FE052A"/>
    <w:rsid w:val="00FE08E8"/>
    <w:rsid w:val="00FE27E7"/>
    <w:rsid w:val="00FE27ED"/>
    <w:rsid w:val="00FE2D89"/>
    <w:rsid w:val="00FE3880"/>
    <w:rsid w:val="00FE3B2A"/>
    <w:rsid w:val="00FE3C17"/>
    <w:rsid w:val="00FE4532"/>
    <w:rsid w:val="00FE45CE"/>
    <w:rsid w:val="00FE4BF3"/>
    <w:rsid w:val="00FE51FB"/>
    <w:rsid w:val="00FE547B"/>
    <w:rsid w:val="00FE5816"/>
    <w:rsid w:val="00FE604A"/>
    <w:rsid w:val="00FE6CF2"/>
    <w:rsid w:val="00FE7241"/>
    <w:rsid w:val="00FE775F"/>
    <w:rsid w:val="00FE776E"/>
    <w:rsid w:val="00FF0176"/>
    <w:rsid w:val="00FF0A81"/>
    <w:rsid w:val="00FF1149"/>
    <w:rsid w:val="00FF129C"/>
    <w:rsid w:val="00FF1582"/>
    <w:rsid w:val="00FF187A"/>
    <w:rsid w:val="00FF2283"/>
    <w:rsid w:val="00FF22FC"/>
    <w:rsid w:val="00FF2C16"/>
    <w:rsid w:val="00FF44AF"/>
    <w:rsid w:val="00FF4E66"/>
    <w:rsid w:val="00FF530C"/>
    <w:rsid w:val="00FF544B"/>
    <w:rsid w:val="00FF54EC"/>
    <w:rsid w:val="00FF5A43"/>
    <w:rsid w:val="00FF5CC8"/>
    <w:rsid w:val="00FF5EE6"/>
    <w:rsid w:val="00FF5F98"/>
    <w:rsid w:val="00FF6249"/>
    <w:rsid w:val="00FF6360"/>
    <w:rsid w:val="00FF669A"/>
    <w:rsid w:val="00FF7674"/>
    <w:rsid w:val="00FF77CB"/>
    <w:rsid w:val="00FF7B18"/>
    <w:rsid w:val="00FF7B58"/>
    <w:rsid w:val="00FF7BAC"/>
    <w:rsid w:val="00FF7E5A"/>
    <w:rsid w:val="010B7642"/>
    <w:rsid w:val="0139540B"/>
    <w:rsid w:val="01634DAD"/>
    <w:rsid w:val="017F7D02"/>
    <w:rsid w:val="01D22D2F"/>
    <w:rsid w:val="01D34AC7"/>
    <w:rsid w:val="01E23011"/>
    <w:rsid w:val="02211BAE"/>
    <w:rsid w:val="02293943"/>
    <w:rsid w:val="02435763"/>
    <w:rsid w:val="02455D89"/>
    <w:rsid w:val="02867093"/>
    <w:rsid w:val="02C80F58"/>
    <w:rsid w:val="02D1729F"/>
    <w:rsid w:val="02E57877"/>
    <w:rsid w:val="035324EB"/>
    <w:rsid w:val="03553D79"/>
    <w:rsid w:val="03740A5A"/>
    <w:rsid w:val="040657CA"/>
    <w:rsid w:val="04532D85"/>
    <w:rsid w:val="04783517"/>
    <w:rsid w:val="047A3787"/>
    <w:rsid w:val="048D195A"/>
    <w:rsid w:val="049B3B03"/>
    <w:rsid w:val="04F90B5B"/>
    <w:rsid w:val="05185CD5"/>
    <w:rsid w:val="05204DDB"/>
    <w:rsid w:val="0521452F"/>
    <w:rsid w:val="055F2BCB"/>
    <w:rsid w:val="05D37964"/>
    <w:rsid w:val="05E27A84"/>
    <w:rsid w:val="062E1BBA"/>
    <w:rsid w:val="064549BD"/>
    <w:rsid w:val="067A781D"/>
    <w:rsid w:val="06884B9C"/>
    <w:rsid w:val="069953E1"/>
    <w:rsid w:val="06B538F4"/>
    <w:rsid w:val="06BD6180"/>
    <w:rsid w:val="07203BAE"/>
    <w:rsid w:val="072220BA"/>
    <w:rsid w:val="07223BAD"/>
    <w:rsid w:val="07223BB5"/>
    <w:rsid w:val="074849DB"/>
    <w:rsid w:val="0766035D"/>
    <w:rsid w:val="07866291"/>
    <w:rsid w:val="07B13291"/>
    <w:rsid w:val="07C55551"/>
    <w:rsid w:val="07D802C0"/>
    <w:rsid w:val="07E22BA6"/>
    <w:rsid w:val="08174CBF"/>
    <w:rsid w:val="082C1351"/>
    <w:rsid w:val="08344079"/>
    <w:rsid w:val="08433CA6"/>
    <w:rsid w:val="08A573CE"/>
    <w:rsid w:val="08B73DC9"/>
    <w:rsid w:val="08BD44F2"/>
    <w:rsid w:val="08E372A8"/>
    <w:rsid w:val="091A1D33"/>
    <w:rsid w:val="09744908"/>
    <w:rsid w:val="09A23AD6"/>
    <w:rsid w:val="09B36A35"/>
    <w:rsid w:val="09BE30E6"/>
    <w:rsid w:val="0A053D41"/>
    <w:rsid w:val="0A161583"/>
    <w:rsid w:val="0A3039B1"/>
    <w:rsid w:val="0A514329"/>
    <w:rsid w:val="0A615078"/>
    <w:rsid w:val="0A696248"/>
    <w:rsid w:val="0AE235A4"/>
    <w:rsid w:val="0B002E5D"/>
    <w:rsid w:val="0B143D7D"/>
    <w:rsid w:val="0B5700BB"/>
    <w:rsid w:val="0B5D1E7F"/>
    <w:rsid w:val="0B635D6A"/>
    <w:rsid w:val="0B7218AA"/>
    <w:rsid w:val="0B807457"/>
    <w:rsid w:val="0B9B661D"/>
    <w:rsid w:val="0BB772BD"/>
    <w:rsid w:val="0BC345CF"/>
    <w:rsid w:val="0C0F6F17"/>
    <w:rsid w:val="0C1678BE"/>
    <w:rsid w:val="0C2612A0"/>
    <w:rsid w:val="0C541137"/>
    <w:rsid w:val="0C6A3DE0"/>
    <w:rsid w:val="0C760F26"/>
    <w:rsid w:val="0C9327B6"/>
    <w:rsid w:val="0C9758B9"/>
    <w:rsid w:val="0CA2214E"/>
    <w:rsid w:val="0CC76F66"/>
    <w:rsid w:val="0CCE0023"/>
    <w:rsid w:val="0CEE1455"/>
    <w:rsid w:val="0D2C7836"/>
    <w:rsid w:val="0D391DAF"/>
    <w:rsid w:val="0D3B4051"/>
    <w:rsid w:val="0D810DF7"/>
    <w:rsid w:val="0DC1531D"/>
    <w:rsid w:val="0DC832B2"/>
    <w:rsid w:val="0DC94643"/>
    <w:rsid w:val="0DD30098"/>
    <w:rsid w:val="0DDD6D83"/>
    <w:rsid w:val="0E190991"/>
    <w:rsid w:val="0E4136CA"/>
    <w:rsid w:val="0E454D40"/>
    <w:rsid w:val="0E7A4973"/>
    <w:rsid w:val="0E8042DE"/>
    <w:rsid w:val="0E8C0456"/>
    <w:rsid w:val="0EAB4183"/>
    <w:rsid w:val="0EE509C2"/>
    <w:rsid w:val="0F08152B"/>
    <w:rsid w:val="0F1A01B7"/>
    <w:rsid w:val="0F406DD3"/>
    <w:rsid w:val="0F4B7851"/>
    <w:rsid w:val="0F6E62FA"/>
    <w:rsid w:val="0F720AA2"/>
    <w:rsid w:val="0FF829AC"/>
    <w:rsid w:val="10164B03"/>
    <w:rsid w:val="10404E12"/>
    <w:rsid w:val="10493E65"/>
    <w:rsid w:val="105605BF"/>
    <w:rsid w:val="106406E4"/>
    <w:rsid w:val="10731E18"/>
    <w:rsid w:val="10832137"/>
    <w:rsid w:val="10BA7D11"/>
    <w:rsid w:val="10CD4E26"/>
    <w:rsid w:val="10F90464"/>
    <w:rsid w:val="1148195F"/>
    <w:rsid w:val="11535CDA"/>
    <w:rsid w:val="11B45DA8"/>
    <w:rsid w:val="11BD2FE3"/>
    <w:rsid w:val="11D40DE0"/>
    <w:rsid w:val="11EB6EB3"/>
    <w:rsid w:val="121F4EBE"/>
    <w:rsid w:val="12647EC4"/>
    <w:rsid w:val="1277382E"/>
    <w:rsid w:val="12AF0AA4"/>
    <w:rsid w:val="12CC2DDB"/>
    <w:rsid w:val="12DA0956"/>
    <w:rsid w:val="12F508D2"/>
    <w:rsid w:val="13022CEC"/>
    <w:rsid w:val="131C7569"/>
    <w:rsid w:val="133E2072"/>
    <w:rsid w:val="138D7D05"/>
    <w:rsid w:val="13B97EC5"/>
    <w:rsid w:val="140C1889"/>
    <w:rsid w:val="142571A2"/>
    <w:rsid w:val="14441127"/>
    <w:rsid w:val="14616E91"/>
    <w:rsid w:val="146321BB"/>
    <w:rsid w:val="14643D5A"/>
    <w:rsid w:val="14D30834"/>
    <w:rsid w:val="14F368AB"/>
    <w:rsid w:val="153E27FD"/>
    <w:rsid w:val="1548367B"/>
    <w:rsid w:val="15730777"/>
    <w:rsid w:val="15736473"/>
    <w:rsid w:val="160E7BD1"/>
    <w:rsid w:val="1610119E"/>
    <w:rsid w:val="161A2C9D"/>
    <w:rsid w:val="163129CD"/>
    <w:rsid w:val="165C7976"/>
    <w:rsid w:val="16A50497"/>
    <w:rsid w:val="16AB1966"/>
    <w:rsid w:val="16C17009"/>
    <w:rsid w:val="16C33F08"/>
    <w:rsid w:val="16DC4A14"/>
    <w:rsid w:val="16FA2753"/>
    <w:rsid w:val="170345EE"/>
    <w:rsid w:val="176C0F1B"/>
    <w:rsid w:val="177F70FC"/>
    <w:rsid w:val="17A07045"/>
    <w:rsid w:val="17B5219E"/>
    <w:rsid w:val="17DA2A80"/>
    <w:rsid w:val="17E256F8"/>
    <w:rsid w:val="17EF2CFE"/>
    <w:rsid w:val="180935A7"/>
    <w:rsid w:val="181037CC"/>
    <w:rsid w:val="1814079D"/>
    <w:rsid w:val="18794016"/>
    <w:rsid w:val="18A35EC5"/>
    <w:rsid w:val="18C577EA"/>
    <w:rsid w:val="18E4321D"/>
    <w:rsid w:val="18F01B03"/>
    <w:rsid w:val="198C53F8"/>
    <w:rsid w:val="199A2DEE"/>
    <w:rsid w:val="199C5D44"/>
    <w:rsid w:val="19BA663C"/>
    <w:rsid w:val="19D27A41"/>
    <w:rsid w:val="1A0829B9"/>
    <w:rsid w:val="1A24134C"/>
    <w:rsid w:val="1A4662CF"/>
    <w:rsid w:val="1A5B6D10"/>
    <w:rsid w:val="1A6A1F83"/>
    <w:rsid w:val="1A9644A7"/>
    <w:rsid w:val="1AA47422"/>
    <w:rsid w:val="1ABA7F1D"/>
    <w:rsid w:val="1ABE3530"/>
    <w:rsid w:val="1AE500A6"/>
    <w:rsid w:val="1AF17E5B"/>
    <w:rsid w:val="1B067A5E"/>
    <w:rsid w:val="1B0A429C"/>
    <w:rsid w:val="1B223F1A"/>
    <w:rsid w:val="1B803787"/>
    <w:rsid w:val="1BC77097"/>
    <w:rsid w:val="1BEA01F2"/>
    <w:rsid w:val="1BEA723A"/>
    <w:rsid w:val="1BF3662A"/>
    <w:rsid w:val="1C102AB4"/>
    <w:rsid w:val="1C3D5DDF"/>
    <w:rsid w:val="1C4862D2"/>
    <w:rsid w:val="1C492D57"/>
    <w:rsid w:val="1C583173"/>
    <w:rsid w:val="1C662091"/>
    <w:rsid w:val="1C6F5C02"/>
    <w:rsid w:val="1C9E77E8"/>
    <w:rsid w:val="1CBE112A"/>
    <w:rsid w:val="1D0625C0"/>
    <w:rsid w:val="1D0B239F"/>
    <w:rsid w:val="1D1562EE"/>
    <w:rsid w:val="1D5B60DB"/>
    <w:rsid w:val="1DD64AED"/>
    <w:rsid w:val="1E192DA5"/>
    <w:rsid w:val="1E223D4C"/>
    <w:rsid w:val="1E407A47"/>
    <w:rsid w:val="1E6C0104"/>
    <w:rsid w:val="1E6C03DB"/>
    <w:rsid w:val="1E917339"/>
    <w:rsid w:val="1EC06494"/>
    <w:rsid w:val="1EF729D5"/>
    <w:rsid w:val="1F026344"/>
    <w:rsid w:val="1FBA687F"/>
    <w:rsid w:val="1FBE1E90"/>
    <w:rsid w:val="1FC13D30"/>
    <w:rsid w:val="1FCA3D94"/>
    <w:rsid w:val="1FFE71B7"/>
    <w:rsid w:val="200E0021"/>
    <w:rsid w:val="201D6424"/>
    <w:rsid w:val="204F1D62"/>
    <w:rsid w:val="207E073E"/>
    <w:rsid w:val="209839C4"/>
    <w:rsid w:val="20AB105A"/>
    <w:rsid w:val="20C40F10"/>
    <w:rsid w:val="20E052CB"/>
    <w:rsid w:val="20EA73A7"/>
    <w:rsid w:val="21111EDC"/>
    <w:rsid w:val="21170CAE"/>
    <w:rsid w:val="21482ECD"/>
    <w:rsid w:val="214E3C4C"/>
    <w:rsid w:val="21827B08"/>
    <w:rsid w:val="2190727D"/>
    <w:rsid w:val="21977B3A"/>
    <w:rsid w:val="21CB110C"/>
    <w:rsid w:val="222455EB"/>
    <w:rsid w:val="22255CB0"/>
    <w:rsid w:val="224F7DEF"/>
    <w:rsid w:val="225B24C2"/>
    <w:rsid w:val="227D2BB6"/>
    <w:rsid w:val="227E6985"/>
    <w:rsid w:val="22B87754"/>
    <w:rsid w:val="234D3E49"/>
    <w:rsid w:val="23580F2E"/>
    <w:rsid w:val="235D6EBB"/>
    <w:rsid w:val="237C236E"/>
    <w:rsid w:val="23AB5501"/>
    <w:rsid w:val="23C245F9"/>
    <w:rsid w:val="23E47D3B"/>
    <w:rsid w:val="23E82132"/>
    <w:rsid w:val="23EF5E20"/>
    <w:rsid w:val="23F664EC"/>
    <w:rsid w:val="240514AB"/>
    <w:rsid w:val="240E3936"/>
    <w:rsid w:val="241E2177"/>
    <w:rsid w:val="244A674C"/>
    <w:rsid w:val="2462216B"/>
    <w:rsid w:val="247A77C7"/>
    <w:rsid w:val="247D2982"/>
    <w:rsid w:val="24A520C1"/>
    <w:rsid w:val="24B36508"/>
    <w:rsid w:val="24CD7867"/>
    <w:rsid w:val="24DC0B26"/>
    <w:rsid w:val="259F3F8F"/>
    <w:rsid w:val="25DD1926"/>
    <w:rsid w:val="261B1F8E"/>
    <w:rsid w:val="26263565"/>
    <w:rsid w:val="2628070A"/>
    <w:rsid w:val="2636185A"/>
    <w:rsid w:val="263A0DBE"/>
    <w:rsid w:val="265B27E9"/>
    <w:rsid w:val="266434A6"/>
    <w:rsid w:val="26784068"/>
    <w:rsid w:val="26853386"/>
    <w:rsid w:val="268D6192"/>
    <w:rsid w:val="26950C38"/>
    <w:rsid w:val="26A12BEB"/>
    <w:rsid w:val="26C62BFB"/>
    <w:rsid w:val="26C67373"/>
    <w:rsid w:val="26DE2B81"/>
    <w:rsid w:val="26F747B3"/>
    <w:rsid w:val="26FA6CA5"/>
    <w:rsid w:val="270F4C41"/>
    <w:rsid w:val="27475901"/>
    <w:rsid w:val="27545406"/>
    <w:rsid w:val="275B0AE0"/>
    <w:rsid w:val="276E0D20"/>
    <w:rsid w:val="27716A62"/>
    <w:rsid w:val="278F0442"/>
    <w:rsid w:val="27D7721B"/>
    <w:rsid w:val="28081174"/>
    <w:rsid w:val="281477E5"/>
    <w:rsid w:val="281D44F4"/>
    <w:rsid w:val="281F026C"/>
    <w:rsid w:val="282F7966"/>
    <w:rsid w:val="283B21DD"/>
    <w:rsid w:val="283D091B"/>
    <w:rsid w:val="285D7924"/>
    <w:rsid w:val="28795A8F"/>
    <w:rsid w:val="28AD5878"/>
    <w:rsid w:val="28BA66DF"/>
    <w:rsid w:val="28DB4B88"/>
    <w:rsid w:val="28F33BD2"/>
    <w:rsid w:val="292A17BF"/>
    <w:rsid w:val="292C1870"/>
    <w:rsid w:val="294A4B66"/>
    <w:rsid w:val="296D122C"/>
    <w:rsid w:val="29B54EB6"/>
    <w:rsid w:val="29FF53A3"/>
    <w:rsid w:val="2A06316E"/>
    <w:rsid w:val="2A2629D4"/>
    <w:rsid w:val="2A3D382A"/>
    <w:rsid w:val="2A4E308A"/>
    <w:rsid w:val="2A6664F5"/>
    <w:rsid w:val="2A6D6556"/>
    <w:rsid w:val="2A77613D"/>
    <w:rsid w:val="2A7F3EA8"/>
    <w:rsid w:val="2A8F49E0"/>
    <w:rsid w:val="2AED63FF"/>
    <w:rsid w:val="2AFC251F"/>
    <w:rsid w:val="2B084AD1"/>
    <w:rsid w:val="2B236475"/>
    <w:rsid w:val="2B4104F9"/>
    <w:rsid w:val="2B7D005E"/>
    <w:rsid w:val="2B846BA7"/>
    <w:rsid w:val="2B9826CE"/>
    <w:rsid w:val="2BBD2C03"/>
    <w:rsid w:val="2BC4508F"/>
    <w:rsid w:val="2BD1187D"/>
    <w:rsid w:val="2BED3350"/>
    <w:rsid w:val="2BED6BAB"/>
    <w:rsid w:val="2BFC5173"/>
    <w:rsid w:val="2C1A410C"/>
    <w:rsid w:val="2C1C0F19"/>
    <w:rsid w:val="2C2C4D47"/>
    <w:rsid w:val="2C4A10FB"/>
    <w:rsid w:val="2C5A4142"/>
    <w:rsid w:val="2C5E2660"/>
    <w:rsid w:val="2C6A5C3F"/>
    <w:rsid w:val="2CA44508"/>
    <w:rsid w:val="2CCB6C14"/>
    <w:rsid w:val="2CD96D8A"/>
    <w:rsid w:val="2CDD05EA"/>
    <w:rsid w:val="2CFA105C"/>
    <w:rsid w:val="2D502C75"/>
    <w:rsid w:val="2D6C168F"/>
    <w:rsid w:val="2DBD3A80"/>
    <w:rsid w:val="2DD146D3"/>
    <w:rsid w:val="2E0B6614"/>
    <w:rsid w:val="2E2C513A"/>
    <w:rsid w:val="2E2C69E4"/>
    <w:rsid w:val="2E641D37"/>
    <w:rsid w:val="2E664DDE"/>
    <w:rsid w:val="2E766A63"/>
    <w:rsid w:val="2E7806D6"/>
    <w:rsid w:val="2E7A1E0B"/>
    <w:rsid w:val="2E8E7DCA"/>
    <w:rsid w:val="2EC93F3A"/>
    <w:rsid w:val="2ECC4F40"/>
    <w:rsid w:val="2F452CAE"/>
    <w:rsid w:val="2F8D3E76"/>
    <w:rsid w:val="2F9A7298"/>
    <w:rsid w:val="2FA534E1"/>
    <w:rsid w:val="2FD60B3B"/>
    <w:rsid w:val="2FF03017"/>
    <w:rsid w:val="2FFD0E93"/>
    <w:rsid w:val="30061B00"/>
    <w:rsid w:val="300A53BB"/>
    <w:rsid w:val="30146D95"/>
    <w:rsid w:val="302B7946"/>
    <w:rsid w:val="303D6C1D"/>
    <w:rsid w:val="304031EA"/>
    <w:rsid w:val="30501B2C"/>
    <w:rsid w:val="308723F2"/>
    <w:rsid w:val="308A02AF"/>
    <w:rsid w:val="30A419DB"/>
    <w:rsid w:val="30A47560"/>
    <w:rsid w:val="30D82C75"/>
    <w:rsid w:val="30E65093"/>
    <w:rsid w:val="310811F3"/>
    <w:rsid w:val="311341C5"/>
    <w:rsid w:val="31283B33"/>
    <w:rsid w:val="313733D5"/>
    <w:rsid w:val="314A3F83"/>
    <w:rsid w:val="315A25C4"/>
    <w:rsid w:val="31844312"/>
    <w:rsid w:val="318D3E35"/>
    <w:rsid w:val="31D74FCB"/>
    <w:rsid w:val="320911D7"/>
    <w:rsid w:val="320D7E0E"/>
    <w:rsid w:val="32160C3B"/>
    <w:rsid w:val="3244724D"/>
    <w:rsid w:val="324F1E45"/>
    <w:rsid w:val="327F58EB"/>
    <w:rsid w:val="32FB4A31"/>
    <w:rsid w:val="33153AE6"/>
    <w:rsid w:val="33166203"/>
    <w:rsid w:val="333A6475"/>
    <w:rsid w:val="335C4122"/>
    <w:rsid w:val="339A2AD4"/>
    <w:rsid w:val="34131238"/>
    <w:rsid w:val="342E356B"/>
    <w:rsid w:val="34507F32"/>
    <w:rsid w:val="3497206C"/>
    <w:rsid w:val="34BD4190"/>
    <w:rsid w:val="34C178E7"/>
    <w:rsid w:val="34DA79F4"/>
    <w:rsid w:val="34DF10F7"/>
    <w:rsid w:val="350275A5"/>
    <w:rsid w:val="351537D8"/>
    <w:rsid w:val="351B0C9B"/>
    <w:rsid w:val="352F096F"/>
    <w:rsid w:val="35392584"/>
    <w:rsid w:val="357C03F5"/>
    <w:rsid w:val="358446C2"/>
    <w:rsid w:val="35900175"/>
    <w:rsid w:val="359C4C33"/>
    <w:rsid w:val="359C7792"/>
    <w:rsid w:val="35A342A1"/>
    <w:rsid w:val="35AB46C3"/>
    <w:rsid w:val="35C42396"/>
    <w:rsid w:val="35C55E0A"/>
    <w:rsid w:val="35D662A2"/>
    <w:rsid w:val="35F6716C"/>
    <w:rsid w:val="360941BC"/>
    <w:rsid w:val="367E1E95"/>
    <w:rsid w:val="36826596"/>
    <w:rsid w:val="36C56DDE"/>
    <w:rsid w:val="36CA4758"/>
    <w:rsid w:val="36CC1A0E"/>
    <w:rsid w:val="36DD5106"/>
    <w:rsid w:val="37145607"/>
    <w:rsid w:val="371B60A2"/>
    <w:rsid w:val="37303839"/>
    <w:rsid w:val="373A142E"/>
    <w:rsid w:val="37565402"/>
    <w:rsid w:val="378C4D7F"/>
    <w:rsid w:val="37941808"/>
    <w:rsid w:val="37E40B8A"/>
    <w:rsid w:val="38055726"/>
    <w:rsid w:val="38122359"/>
    <w:rsid w:val="38313605"/>
    <w:rsid w:val="38746D20"/>
    <w:rsid w:val="38946533"/>
    <w:rsid w:val="38B6081F"/>
    <w:rsid w:val="3908016A"/>
    <w:rsid w:val="392A30FB"/>
    <w:rsid w:val="39430EFE"/>
    <w:rsid w:val="39516275"/>
    <w:rsid w:val="39582175"/>
    <w:rsid w:val="39592B0D"/>
    <w:rsid w:val="396F3EC6"/>
    <w:rsid w:val="39794E4F"/>
    <w:rsid w:val="397C4A10"/>
    <w:rsid w:val="39925C75"/>
    <w:rsid w:val="39A4303F"/>
    <w:rsid w:val="39CD3FCC"/>
    <w:rsid w:val="39CD7B28"/>
    <w:rsid w:val="3A330EDB"/>
    <w:rsid w:val="3A5543D1"/>
    <w:rsid w:val="3A5A6186"/>
    <w:rsid w:val="3A7F7C87"/>
    <w:rsid w:val="3A9C574C"/>
    <w:rsid w:val="3AB17449"/>
    <w:rsid w:val="3AEB6247"/>
    <w:rsid w:val="3B2C7371"/>
    <w:rsid w:val="3B697D24"/>
    <w:rsid w:val="3B7B35B3"/>
    <w:rsid w:val="3B83709F"/>
    <w:rsid w:val="3B885EF0"/>
    <w:rsid w:val="3BAC5E63"/>
    <w:rsid w:val="3BD81212"/>
    <w:rsid w:val="3BF21AC7"/>
    <w:rsid w:val="3C94204F"/>
    <w:rsid w:val="3C975BDA"/>
    <w:rsid w:val="3CBF4B32"/>
    <w:rsid w:val="3CD16A44"/>
    <w:rsid w:val="3CE372EC"/>
    <w:rsid w:val="3CF63839"/>
    <w:rsid w:val="3D01007E"/>
    <w:rsid w:val="3D132162"/>
    <w:rsid w:val="3D3C2594"/>
    <w:rsid w:val="3D483969"/>
    <w:rsid w:val="3D5E3E77"/>
    <w:rsid w:val="3D66611D"/>
    <w:rsid w:val="3D8320B1"/>
    <w:rsid w:val="3DA3484B"/>
    <w:rsid w:val="3DC76796"/>
    <w:rsid w:val="3DE1766A"/>
    <w:rsid w:val="3E355349"/>
    <w:rsid w:val="3E435396"/>
    <w:rsid w:val="3E4B1963"/>
    <w:rsid w:val="3ED90D1D"/>
    <w:rsid w:val="3EF07205"/>
    <w:rsid w:val="3F1A3C72"/>
    <w:rsid w:val="3F2D1A27"/>
    <w:rsid w:val="3F30692A"/>
    <w:rsid w:val="3F4C7741"/>
    <w:rsid w:val="3F860E9F"/>
    <w:rsid w:val="3F8F215A"/>
    <w:rsid w:val="3FB2738E"/>
    <w:rsid w:val="3FE527C4"/>
    <w:rsid w:val="401E0B61"/>
    <w:rsid w:val="401E512E"/>
    <w:rsid w:val="40592ECB"/>
    <w:rsid w:val="40862BD8"/>
    <w:rsid w:val="40BF2194"/>
    <w:rsid w:val="40D9050A"/>
    <w:rsid w:val="41014921"/>
    <w:rsid w:val="41053CE5"/>
    <w:rsid w:val="416136DF"/>
    <w:rsid w:val="4168282C"/>
    <w:rsid w:val="41950879"/>
    <w:rsid w:val="41AF0084"/>
    <w:rsid w:val="41C44063"/>
    <w:rsid w:val="41E360EF"/>
    <w:rsid w:val="41E974C9"/>
    <w:rsid w:val="420C31B7"/>
    <w:rsid w:val="424302F7"/>
    <w:rsid w:val="42A93DB9"/>
    <w:rsid w:val="42CE1738"/>
    <w:rsid w:val="42D426D5"/>
    <w:rsid w:val="42F55E87"/>
    <w:rsid w:val="43255533"/>
    <w:rsid w:val="4326424B"/>
    <w:rsid w:val="43456981"/>
    <w:rsid w:val="436B092E"/>
    <w:rsid w:val="436E2F11"/>
    <w:rsid w:val="43B82C77"/>
    <w:rsid w:val="43C65643"/>
    <w:rsid w:val="43CC533A"/>
    <w:rsid w:val="43D21D40"/>
    <w:rsid w:val="43ED51DA"/>
    <w:rsid w:val="442F39F3"/>
    <w:rsid w:val="443D7768"/>
    <w:rsid w:val="445B21D4"/>
    <w:rsid w:val="447C4812"/>
    <w:rsid w:val="44A1052F"/>
    <w:rsid w:val="44B34698"/>
    <w:rsid w:val="44C40459"/>
    <w:rsid w:val="45407847"/>
    <w:rsid w:val="4549583D"/>
    <w:rsid w:val="457B2B2E"/>
    <w:rsid w:val="458A660A"/>
    <w:rsid w:val="459C5292"/>
    <w:rsid w:val="45BF6144"/>
    <w:rsid w:val="45ED0E41"/>
    <w:rsid w:val="45F971C9"/>
    <w:rsid w:val="45FB407D"/>
    <w:rsid w:val="45FD2BCE"/>
    <w:rsid w:val="46112B77"/>
    <w:rsid w:val="46222FA9"/>
    <w:rsid w:val="4644178C"/>
    <w:rsid w:val="465E3877"/>
    <w:rsid w:val="466336AA"/>
    <w:rsid w:val="467E4A51"/>
    <w:rsid w:val="468945C4"/>
    <w:rsid w:val="46A53BE7"/>
    <w:rsid w:val="46B46D8F"/>
    <w:rsid w:val="46C5313B"/>
    <w:rsid w:val="46D042EE"/>
    <w:rsid w:val="46DC0E1D"/>
    <w:rsid w:val="47075DCA"/>
    <w:rsid w:val="47455B21"/>
    <w:rsid w:val="47576C52"/>
    <w:rsid w:val="47791908"/>
    <w:rsid w:val="47833F1C"/>
    <w:rsid w:val="478B02B6"/>
    <w:rsid w:val="47A125F4"/>
    <w:rsid w:val="47AA25C7"/>
    <w:rsid w:val="47BC54D2"/>
    <w:rsid w:val="47EF182D"/>
    <w:rsid w:val="482F7405"/>
    <w:rsid w:val="483F331D"/>
    <w:rsid w:val="48923A9B"/>
    <w:rsid w:val="48942AC3"/>
    <w:rsid w:val="48B32931"/>
    <w:rsid w:val="48F001AB"/>
    <w:rsid w:val="49043472"/>
    <w:rsid w:val="4913307D"/>
    <w:rsid w:val="49852879"/>
    <w:rsid w:val="49926698"/>
    <w:rsid w:val="499A1CD1"/>
    <w:rsid w:val="49B5720F"/>
    <w:rsid w:val="49E3107C"/>
    <w:rsid w:val="4A34692A"/>
    <w:rsid w:val="4A570F3A"/>
    <w:rsid w:val="4A630D97"/>
    <w:rsid w:val="4A71188D"/>
    <w:rsid w:val="4AA1215D"/>
    <w:rsid w:val="4AAF6DD6"/>
    <w:rsid w:val="4AB136D7"/>
    <w:rsid w:val="4AB97AC7"/>
    <w:rsid w:val="4AD064A1"/>
    <w:rsid w:val="4B472D3C"/>
    <w:rsid w:val="4B6D4D75"/>
    <w:rsid w:val="4B765330"/>
    <w:rsid w:val="4BC045B9"/>
    <w:rsid w:val="4BEC28F6"/>
    <w:rsid w:val="4C065B1E"/>
    <w:rsid w:val="4C341C88"/>
    <w:rsid w:val="4C8C4B93"/>
    <w:rsid w:val="4CA86612"/>
    <w:rsid w:val="4CC13A7B"/>
    <w:rsid w:val="4CF722A6"/>
    <w:rsid w:val="4D023B34"/>
    <w:rsid w:val="4D060ABF"/>
    <w:rsid w:val="4D4859B9"/>
    <w:rsid w:val="4D664586"/>
    <w:rsid w:val="4D9815D3"/>
    <w:rsid w:val="4DCB4070"/>
    <w:rsid w:val="4DE5581C"/>
    <w:rsid w:val="4DF30C68"/>
    <w:rsid w:val="4DF64010"/>
    <w:rsid w:val="4E0F74B1"/>
    <w:rsid w:val="4E15651D"/>
    <w:rsid w:val="4E221472"/>
    <w:rsid w:val="4E2C5858"/>
    <w:rsid w:val="4E2D4423"/>
    <w:rsid w:val="4E813B1E"/>
    <w:rsid w:val="4E985C60"/>
    <w:rsid w:val="4EBC428F"/>
    <w:rsid w:val="4ECB7346"/>
    <w:rsid w:val="4EE031E2"/>
    <w:rsid w:val="4F0E121D"/>
    <w:rsid w:val="4F3A5875"/>
    <w:rsid w:val="4F6B4177"/>
    <w:rsid w:val="4F7343F2"/>
    <w:rsid w:val="4FB5406C"/>
    <w:rsid w:val="4FD01D7D"/>
    <w:rsid w:val="4FD947C7"/>
    <w:rsid w:val="4FF83DDB"/>
    <w:rsid w:val="5028092C"/>
    <w:rsid w:val="50455999"/>
    <w:rsid w:val="50587CCB"/>
    <w:rsid w:val="5061143C"/>
    <w:rsid w:val="50667FCB"/>
    <w:rsid w:val="506875D7"/>
    <w:rsid w:val="507117E3"/>
    <w:rsid w:val="507822C9"/>
    <w:rsid w:val="5097212F"/>
    <w:rsid w:val="50A17F47"/>
    <w:rsid w:val="50CA763C"/>
    <w:rsid w:val="510C32BB"/>
    <w:rsid w:val="51240AF7"/>
    <w:rsid w:val="512A0EB2"/>
    <w:rsid w:val="51574F11"/>
    <w:rsid w:val="51D314A7"/>
    <w:rsid w:val="51EB0301"/>
    <w:rsid w:val="51FD0995"/>
    <w:rsid w:val="522E3DAB"/>
    <w:rsid w:val="52325181"/>
    <w:rsid w:val="52372242"/>
    <w:rsid w:val="526F5525"/>
    <w:rsid w:val="527B37BE"/>
    <w:rsid w:val="527C5E22"/>
    <w:rsid w:val="52B44104"/>
    <w:rsid w:val="52B74209"/>
    <w:rsid w:val="52C20E6A"/>
    <w:rsid w:val="52C61160"/>
    <w:rsid w:val="53051527"/>
    <w:rsid w:val="53135E58"/>
    <w:rsid w:val="53C866F8"/>
    <w:rsid w:val="53D45486"/>
    <w:rsid w:val="542D2CAE"/>
    <w:rsid w:val="5479045D"/>
    <w:rsid w:val="547F18D1"/>
    <w:rsid w:val="54853514"/>
    <w:rsid w:val="54965F5B"/>
    <w:rsid w:val="54AC4C48"/>
    <w:rsid w:val="54B710C1"/>
    <w:rsid w:val="54E9355C"/>
    <w:rsid w:val="54F902DB"/>
    <w:rsid w:val="54FB3A76"/>
    <w:rsid w:val="55005835"/>
    <w:rsid w:val="55023443"/>
    <w:rsid w:val="554E1401"/>
    <w:rsid w:val="555256AB"/>
    <w:rsid w:val="55554260"/>
    <w:rsid w:val="5559450E"/>
    <w:rsid w:val="556059B1"/>
    <w:rsid w:val="55832BF4"/>
    <w:rsid w:val="559876AA"/>
    <w:rsid w:val="55A859D5"/>
    <w:rsid w:val="55B11FA7"/>
    <w:rsid w:val="561902E2"/>
    <w:rsid w:val="562B13D4"/>
    <w:rsid w:val="562E1A31"/>
    <w:rsid w:val="56383BE0"/>
    <w:rsid w:val="56441F5A"/>
    <w:rsid w:val="56587688"/>
    <w:rsid w:val="567D25B6"/>
    <w:rsid w:val="568A51DD"/>
    <w:rsid w:val="56B62447"/>
    <w:rsid w:val="56D45D0E"/>
    <w:rsid w:val="573F488F"/>
    <w:rsid w:val="574C257C"/>
    <w:rsid w:val="577C1579"/>
    <w:rsid w:val="578142DC"/>
    <w:rsid w:val="578340A7"/>
    <w:rsid w:val="57966AD8"/>
    <w:rsid w:val="57B25938"/>
    <w:rsid w:val="57FB6223"/>
    <w:rsid w:val="58232EFA"/>
    <w:rsid w:val="584371A5"/>
    <w:rsid w:val="58624221"/>
    <w:rsid w:val="58712EAA"/>
    <w:rsid w:val="58757606"/>
    <w:rsid w:val="58A24DAF"/>
    <w:rsid w:val="58C15B38"/>
    <w:rsid w:val="58E40592"/>
    <w:rsid w:val="58E84F76"/>
    <w:rsid w:val="58EF6F79"/>
    <w:rsid w:val="59140E77"/>
    <w:rsid w:val="593350E3"/>
    <w:rsid w:val="5934707A"/>
    <w:rsid w:val="59491009"/>
    <w:rsid w:val="59810851"/>
    <w:rsid w:val="5986574F"/>
    <w:rsid w:val="599A4600"/>
    <w:rsid w:val="599C4367"/>
    <w:rsid w:val="5A43120C"/>
    <w:rsid w:val="5A6B2BBD"/>
    <w:rsid w:val="5A6C56C2"/>
    <w:rsid w:val="5AB136B3"/>
    <w:rsid w:val="5AE21889"/>
    <w:rsid w:val="5B027F4D"/>
    <w:rsid w:val="5B0C363C"/>
    <w:rsid w:val="5B353327"/>
    <w:rsid w:val="5B4728F4"/>
    <w:rsid w:val="5B4B4BE9"/>
    <w:rsid w:val="5B554D0A"/>
    <w:rsid w:val="5B570C43"/>
    <w:rsid w:val="5B580F90"/>
    <w:rsid w:val="5B5945C5"/>
    <w:rsid w:val="5B614388"/>
    <w:rsid w:val="5B7958C1"/>
    <w:rsid w:val="5B7A5E14"/>
    <w:rsid w:val="5BDB3209"/>
    <w:rsid w:val="5C110BD6"/>
    <w:rsid w:val="5C53392F"/>
    <w:rsid w:val="5C53453C"/>
    <w:rsid w:val="5C5B5B4A"/>
    <w:rsid w:val="5C640EBB"/>
    <w:rsid w:val="5C823F98"/>
    <w:rsid w:val="5CD252D1"/>
    <w:rsid w:val="5CE45B49"/>
    <w:rsid w:val="5CF44A94"/>
    <w:rsid w:val="5D057DF3"/>
    <w:rsid w:val="5D58169F"/>
    <w:rsid w:val="5D670834"/>
    <w:rsid w:val="5D793201"/>
    <w:rsid w:val="5D7D55CE"/>
    <w:rsid w:val="5D8C1505"/>
    <w:rsid w:val="5D9D2035"/>
    <w:rsid w:val="5DE60DD9"/>
    <w:rsid w:val="5DF10AEF"/>
    <w:rsid w:val="5DFE39C3"/>
    <w:rsid w:val="5E0F1C0D"/>
    <w:rsid w:val="5E2D3E26"/>
    <w:rsid w:val="5E2F680D"/>
    <w:rsid w:val="5E3D6CCB"/>
    <w:rsid w:val="5E824AD5"/>
    <w:rsid w:val="5EA90B90"/>
    <w:rsid w:val="5EAF3472"/>
    <w:rsid w:val="5ED56729"/>
    <w:rsid w:val="5EFC6952"/>
    <w:rsid w:val="5F0D4A61"/>
    <w:rsid w:val="5F36141C"/>
    <w:rsid w:val="5F381799"/>
    <w:rsid w:val="5F3B76B1"/>
    <w:rsid w:val="5F3C6126"/>
    <w:rsid w:val="5F49485F"/>
    <w:rsid w:val="5F4B550F"/>
    <w:rsid w:val="5F6C1FAC"/>
    <w:rsid w:val="5F703D10"/>
    <w:rsid w:val="5F887568"/>
    <w:rsid w:val="5FB2319F"/>
    <w:rsid w:val="5FB44FBA"/>
    <w:rsid w:val="5FDB63AC"/>
    <w:rsid w:val="60576A56"/>
    <w:rsid w:val="60617E4E"/>
    <w:rsid w:val="60636AFE"/>
    <w:rsid w:val="60C03E40"/>
    <w:rsid w:val="611F600B"/>
    <w:rsid w:val="612105D5"/>
    <w:rsid w:val="614E0C9F"/>
    <w:rsid w:val="614F2A17"/>
    <w:rsid w:val="61A06617"/>
    <w:rsid w:val="61B10858"/>
    <w:rsid w:val="61B83A43"/>
    <w:rsid w:val="61FA1E46"/>
    <w:rsid w:val="622B0FE0"/>
    <w:rsid w:val="624027EA"/>
    <w:rsid w:val="625D0734"/>
    <w:rsid w:val="627728B5"/>
    <w:rsid w:val="627A3EB2"/>
    <w:rsid w:val="62A3501A"/>
    <w:rsid w:val="62B0343B"/>
    <w:rsid w:val="62CA67E9"/>
    <w:rsid w:val="62D61577"/>
    <w:rsid w:val="63027872"/>
    <w:rsid w:val="63141A74"/>
    <w:rsid w:val="631D058D"/>
    <w:rsid w:val="63251D62"/>
    <w:rsid w:val="634B27D5"/>
    <w:rsid w:val="63714350"/>
    <w:rsid w:val="637E5958"/>
    <w:rsid w:val="639A7D4B"/>
    <w:rsid w:val="63A96C6A"/>
    <w:rsid w:val="63CB140E"/>
    <w:rsid w:val="63D419DC"/>
    <w:rsid w:val="63FE3CFD"/>
    <w:rsid w:val="64126FEF"/>
    <w:rsid w:val="64165576"/>
    <w:rsid w:val="644A57F4"/>
    <w:rsid w:val="646A600A"/>
    <w:rsid w:val="64A91D6C"/>
    <w:rsid w:val="64AB425E"/>
    <w:rsid w:val="64BC398A"/>
    <w:rsid w:val="64D947B6"/>
    <w:rsid w:val="653C6C31"/>
    <w:rsid w:val="654035B4"/>
    <w:rsid w:val="655E37EB"/>
    <w:rsid w:val="656D37B1"/>
    <w:rsid w:val="65896F42"/>
    <w:rsid w:val="65A0368B"/>
    <w:rsid w:val="65A7062C"/>
    <w:rsid w:val="65AF040A"/>
    <w:rsid w:val="65B03592"/>
    <w:rsid w:val="65C300DD"/>
    <w:rsid w:val="663F5A01"/>
    <w:rsid w:val="66501015"/>
    <w:rsid w:val="66573403"/>
    <w:rsid w:val="668D30D8"/>
    <w:rsid w:val="66C315BA"/>
    <w:rsid w:val="66D61A67"/>
    <w:rsid w:val="66ED2BAA"/>
    <w:rsid w:val="66F0216D"/>
    <w:rsid w:val="670C13E0"/>
    <w:rsid w:val="671B5001"/>
    <w:rsid w:val="672F6514"/>
    <w:rsid w:val="67303483"/>
    <w:rsid w:val="67377E30"/>
    <w:rsid w:val="67545E9D"/>
    <w:rsid w:val="6756600B"/>
    <w:rsid w:val="678B17DF"/>
    <w:rsid w:val="679E5A66"/>
    <w:rsid w:val="67FC4CA3"/>
    <w:rsid w:val="680F6ECB"/>
    <w:rsid w:val="6810519A"/>
    <w:rsid w:val="68211E22"/>
    <w:rsid w:val="686D5EAE"/>
    <w:rsid w:val="689E2CB0"/>
    <w:rsid w:val="68A51AEC"/>
    <w:rsid w:val="68CA77A4"/>
    <w:rsid w:val="68FC5FFB"/>
    <w:rsid w:val="68FD1F30"/>
    <w:rsid w:val="692A3D9F"/>
    <w:rsid w:val="692C0D1B"/>
    <w:rsid w:val="69462425"/>
    <w:rsid w:val="69591307"/>
    <w:rsid w:val="69800BB4"/>
    <w:rsid w:val="698D6225"/>
    <w:rsid w:val="69E51D4E"/>
    <w:rsid w:val="69F263A9"/>
    <w:rsid w:val="69FC0316"/>
    <w:rsid w:val="6A266891"/>
    <w:rsid w:val="6A3D7B02"/>
    <w:rsid w:val="6A531EC3"/>
    <w:rsid w:val="6A694D9B"/>
    <w:rsid w:val="6A85115E"/>
    <w:rsid w:val="6A8D2838"/>
    <w:rsid w:val="6A983321"/>
    <w:rsid w:val="6ADD43B6"/>
    <w:rsid w:val="6AEC7CB1"/>
    <w:rsid w:val="6B0F4CDD"/>
    <w:rsid w:val="6B1B7FBE"/>
    <w:rsid w:val="6B5B2936"/>
    <w:rsid w:val="6B5D1BBB"/>
    <w:rsid w:val="6B6762D7"/>
    <w:rsid w:val="6B86130F"/>
    <w:rsid w:val="6BB14B21"/>
    <w:rsid w:val="6BBF056D"/>
    <w:rsid w:val="6C36671D"/>
    <w:rsid w:val="6C397AD4"/>
    <w:rsid w:val="6C63276D"/>
    <w:rsid w:val="6C690350"/>
    <w:rsid w:val="6C6B0126"/>
    <w:rsid w:val="6C6C31B3"/>
    <w:rsid w:val="6C6E378B"/>
    <w:rsid w:val="6C7D4B2E"/>
    <w:rsid w:val="6C871509"/>
    <w:rsid w:val="6CB1488E"/>
    <w:rsid w:val="6CC74CFD"/>
    <w:rsid w:val="6CE30E35"/>
    <w:rsid w:val="6CF8099E"/>
    <w:rsid w:val="6CFE3730"/>
    <w:rsid w:val="6D1612D0"/>
    <w:rsid w:val="6D327EB6"/>
    <w:rsid w:val="6D554F4D"/>
    <w:rsid w:val="6D8D4598"/>
    <w:rsid w:val="6D8E2AD7"/>
    <w:rsid w:val="6D925FBF"/>
    <w:rsid w:val="6D982231"/>
    <w:rsid w:val="6DB97D9C"/>
    <w:rsid w:val="6DCE61C3"/>
    <w:rsid w:val="6DCF5551"/>
    <w:rsid w:val="6E0E7D41"/>
    <w:rsid w:val="6E1A5C83"/>
    <w:rsid w:val="6E2473DB"/>
    <w:rsid w:val="6E3541D0"/>
    <w:rsid w:val="6E4B4B1B"/>
    <w:rsid w:val="6E512686"/>
    <w:rsid w:val="6E5D61DC"/>
    <w:rsid w:val="6E7048DD"/>
    <w:rsid w:val="6EB0599B"/>
    <w:rsid w:val="6EB9634B"/>
    <w:rsid w:val="6EBB5DD8"/>
    <w:rsid w:val="6F070212"/>
    <w:rsid w:val="6F0B6CBF"/>
    <w:rsid w:val="6F0E3943"/>
    <w:rsid w:val="6F1902DC"/>
    <w:rsid w:val="6F352796"/>
    <w:rsid w:val="6F365E0D"/>
    <w:rsid w:val="6FA74F93"/>
    <w:rsid w:val="70333A0F"/>
    <w:rsid w:val="703616DA"/>
    <w:rsid w:val="70B0102E"/>
    <w:rsid w:val="70D13A20"/>
    <w:rsid w:val="70D95F92"/>
    <w:rsid w:val="70FD35B7"/>
    <w:rsid w:val="71145A61"/>
    <w:rsid w:val="71492652"/>
    <w:rsid w:val="71611723"/>
    <w:rsid w:val="717B2649"/>
    <w:rsid w:val="71804F9B"/>
    <w:rsid w:val="718B2ABC"/>
    <w:rsid w:val="71A6516F"/>
    <w:rsid w:val="71EB2684"/>
    <w:rsid w:val="72045D7F"/>
    <w:rsid w:val="72084CEF"/>
    <w:rsid w:val="724177ED"/>
    <w:rsid w:val="72C25048"/>
    <w:rsid w:val="72C963D7"/>
    <w:rsid w:val="72D343D3"/>
    <w:rsid w:val="73060483"/>
    <w:rsid w:val="730C05F8"/>
    <w:rsid w:val="73631BF9"/>
    <w:rsid w:val="738547C8"/>
    <w:rsid w:val="73A40BF2"/>
    <w:rsid w:val="73AE2B08"/>
    <w:rsid w:val="73DD6D17"/>
    <w:rsid w:val="73E21E46"/>
    <w:rsid w:val="741D14C7"/>
    <w:rsid w:val="742D1736"/>
    <w:rsid w:val="744F337F"/>
    <w:rsid w:val="74674561"/>
    <w:rsid w:val="746A599D"/>
    <w:rsid w:val="74780236"/>
    <w:rsid w:val="74960605"/>
    <w:rsid w:val="74970D43"/>
    <w:rsid w:val="74B669EC"/>
    <w:rsid w:val="74B9593C"/>
    <w:rsid w:val="74D01C2F"/>
    <w:rsid w:val="74F32D33"/>
    <w:rsid w:val="752828BC"/>
    <w:rsid w:val="75797AA8"/>
    <w:rsid w:val="75852D0F"/>
    <w:rsid w:val="75A57AB8"/>
    <w:rsid w:val="75BC66C7"/>
    <w:rsid w:val="75D450C3"/>
    <w:rsid w:val="75D90202"/>
    <w:rsid w:val="75DD022C"/>
    <w:rsid w:val="75F141AD"/>
    <w:rsid w:val="761E236B"/>
    <w:rsid w:val="76861364"/>
    <w:rsid w:val="76A27E11"/>
    <w:rsid w:val="76AB5F3E"/>
    <w:rsid w:val="76AB73C0"/>
    <w:rsid w:val="76C0207E"/>
    <w:rsid w:val="76DA3479"/>
    <w:rsid w:val="76E16C86"/>
    <w:rsid w:val="770B232B"/>
    <w:rsid w:val="771340C5"/>
    <w:rsid w:val="775B578F"/>
    <w:rsid w:val="777D4E66"/>
    <w:rsid w:val="7780263D"/>
    <w:rsid w:val="77946188"/>
    <w:rsid w:val="779E7169"/>
    <w:rsid w:val="77A85155"/>
    <w:rsid w:val="77C62989"/>
    <w:rsid w:val="77D81749"/>
    <w:rsid w:val="77DF4DFB"/>
    <w:rsid w:val="77E54297"/>
    <w:rsid w:val="77ED700C"/>
    <w:rsid w:val="77F622BE"/>
    <w:rsid w:val="78001221"/>
    <w:rsid w:val="78057634"/>
    <w:rsid w:val="781619F8"/>
    <w:rsid w:val="78197E01"/>
    <w:rsid w:val="782642CC"/>
    <w:rsid w:val="78730A54"/>
    <w:rsid w:val="7882110A"/>
    <w:rsid w:val="78B66465"/>
    <w:rsid w:val="78B958A9"/>
    <w:rsid w:val="78E5576C"/>
    <w:rsid w:val="790020B8"/>
    <w:rsid w:val="792B772B"/>
    <w:rsid w:val="794B764A"/>
    <w:rsid w:val="797B51D8"/>
    <w:rsid w:val="798B43D9"/>
    <w:rsid w:val="79996ACA"/>
    <w:rsid w:val="79D034CC"/>
    <w:rsid w:val="79DF0BD6"/>
    <w:rsid w:val="79E07F17"/>
    <w:rsid w:val="79FC52E4"/>
    <w:rsid w:val="7A3F3D8D"/>
    <w:rsid w:val="7A4470D4"/>
    <w:rsid w:val="7A4520D7"/>
    <w:rsid w:val="7A50583C"/>
    <w:rsid w:val="7A710169"/>
    <w:rsid w:val="7A773AE4"/>
    <w:rsid w:val="7AB4162F"/>
    <w:rsid w:val="7AC72368"/>
    <w:rsid w:val="7ACB4EA3"/>
    <w:rsid w:val="7AD93877"/>
    <w:rsid w:val="7AE8016D"/>
    <w:rsid w:val="7B0F21BC"/>
    <w:rsid w:val="7B320CAA"/>
    <w:rsid w:val="7B552FBE"/>
    <w:rsid w:val="7B564EC8"/>
    <w:rsid w:val="7BCD6AB8"/>
    <w:rsid w:val="7BF83695"/>
    <w:rsid w:val="7C333FF5"/>
    <w:rsid w:val="7C37730F"/>
    <w:rsid w:val="7C81229D"/>
    <w:rsid w:val="7C8B0BA1"/>
    <w:rsid w:val="7C90012C"/>
    <w:rsid w:val="7CBF2656"/>
    <w:rsid w:val="7CE320CE"/>
    <w:rsid w:val="7CE54E37"/>
    <w:rsid w:val="7CFF1D6D"/>
    <w:rsid w:val="7CFF37DC"/>
    <w:rsid w:val="7D200F98"/>
    <w:rsid w:val="7D3D47BF"/>
    <w:rsid w:val="7D4F20A3"/>
    <w:rsid w:val="7D6C4EE0"/>
    <w:rsid w:val="7D6E1563"/>
    <w:rsid w:val="7D787289"/>
    <w:rsid w:val="7DB27D69"/>
    <w:rsid w:val="7DC71AD9"/>
    <w:rsid w:val="7DD72298"/>
    <w:rsid w:val="7E0E55E6"/>
    <w:rsid w:val="7E4A68BE"/>
    <w:rsid w:val="7E812189"/>
    <w:rsid w:val="7E8B0C95"/>
    <w:rsid w:val="7EB75C58"/>
    <w:rsid w:val="7ED405DD"/>
    <w:rsid w:val="7EDD19DD"/>
    <w:rsid w:val="7EFE20F8"/>
    <w:rsid w:val="7F17671C"/>
    <w:rsid w:val="7F3D1C1F"/>
    <w:rsid w:val="7F4B049E"/>
    <w:rsid w:val="7F5D4923"/>
    <w:rsid w:val="7F6F4BD9"/>
    <w:rsid w:val="7F751B65"/>
    <w:rsid w:val="7FBE7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qFormat="1" w:uiPriority="99" w:semiHidden="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qFormat="1" w:unhideWhenUsed="0" w:uiPriority="99"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7">
    <w:name w:val="heading 1"/>
    <w:basedOn w:val="1"/>
    <w:next w:val="1"/>
    <w:link w:val="70"/>
    <w:autoRedefine/>
    <w:qFormat/>
    <w:uiPriority w:val="0"/>
    <w:pPr>
      <w:keepNext/>
      <w:jc w:val="left"/>
      <w:outlineLvl w:val="0"/>
    </w:pPr>
    <w:rPr>
      <w:b/>
      <w:sz w:val="24"/>
    </w:rPr>
  </w:style>
  <w:style w:type="paragraph" w:styleId="8">
    <w:name w:val="heading 2"/>
    <w:basedOn w:val="1"/>
    <w:next w:val="9"/>
    <w:autoRedefine/>
    <w:qFormat/>
    <w:uiPriority w:val="0"/>
    <w:pPr>
      <w:keepNext/>
      <w:jc w:val="center"/>
      <w:outlineLvl w:val="1"/>
    </w:pPr>
    <w:rPr>
      <w:rFonts w:ascii="仿宋_GB2312"/>
      <w:sz w:val="30"/>
    </w:rPr>
  </w:style>
  <w:style w:type="paragraph" w:styleId="11">
    <w:name w:val="heading 3"/>
    <w:basedOn w:val="1"/>
    <w:next w:val="1"/>
    <w:autoRedefine/>
    <w:qFormat/>
    <w:uiPriority w:val="0"/>
    <w:pPr>
      <w:keepNext/>
      <w:outlineLvl w:val="2"/>
    </w:pPr>
    <w:rPr>
      <w:rFonts w:ascii="宋体"/>
      <w:sz w:val="32"/>
    </w:rPr>
  </w:style>
  <w:style w:type="paragraph" w:styleId="10">
    <w:name w:val="heading 4"/>
    <w:basedOn w:val="1"/>
    <w:next w:val="1"/>
    <w:autoRedefine/>
    <w:qFormat/>
    <w:uiPriority w:val="0"/>
    <w:pPr>
      <w:keepNext/>
      <w:keepLines/>
      <w:adjustRightInd w:val="0"/>
      <w:spacing w:before="280" w:after="290" w:line="376" w:lineRule="atLeast"/>
      <w:jc w:val="left"/>
      <w:textAlignment w:val="baseline"/>
      <w:outlineLvl w:val="3"/>
    </w:pPr>
    <w:rPr>
      <w:rFonts w:eastAsia="Times New Roman"/>
      <w:kern w:val="0"/>
      <w:sz w:val="20"/>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1"/>
    <w:basedOn w:val="3"/>
    <w:next w:val="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Normal_14_0"/>
    <w:autoRedefine/>
    <w:qFormat/>
    <w:uiPriority w:val="0"/>
    <w:pPr>
      <w:spacing w:before="120" w:after="240"/>
      <w:jc w:val="both"/>
    </w:pPr>
    <w:rPr>
      <w:rFonts w:ascii="Calibri" w:hAnsi="Calibri" w:eastAsia="Calibri" w:cs="Times New Roman"/>
      <w:sz w:val="22"/>
      <w:szCs w:val="22"/>
      <w:lang w:val="ru-RU" w:eastAsia="en-US" w:bidi="ar-SA"/>
    </w:rPr>
  </w:style>
  <w:style w:type="paragraph" w:customStyle="1" w:styleId="4">
    <w:name w:val="标题4"/>
    <w:basedOn w:val="1"/>
    <w:next w:val="5"/>
    <w:autoRedefine/>
    <w:qFormat/>
    <w:uiPriority w:val="0"/>
  </w:style>
  <w:style w:type="paragraph" w:customStyle="1" w:styleId="5">
    <w:name w:val="表格内正文"/>
    <w:basedOn w:val="1"/>
    <w:next w:val="6"/>
    <w:autoRedefine/>
    <w:qFormat/>
    <w:uiPriority w:val="0"/>
    <w:pPr>
      <w:ind w:firstLine="493"/>
    </w:pPr>
    <w:rPr>
      <w:rFonts w:ascii="宋体" w:hAnsi="宋体"/>
      <w:spacing w:val="4"/>
      <w:kern w:val="18"/>
    </w:rPr>
  </w:style>
  <w:style w:type="paragraph" w:customStyle="1" w:styleId="6">
    <w:name w:val="A 正文"/>
    <w:basedOn w:val="1"/>
    <w:next w:val="1"/>
    <w:autoRedefine/>
    <w:qFormat/>
    <w:uiPriority w:val="0"/>
    <w:pPr>
      <w:ind w:firstLine="200"/>
    </w:pPr>
    <w:rPr>
      <w:rFonts w:ascii="Calibri" w:eastAsia="Calibri"/>
    </w:rPr>
  </w:style>
  <w:style w:type="paragraph" w:styleId="9">
    <w:name w:val="Normal Indent"/>
    <w:basedOn w:val="1"/>
    <w:next w:val="10"/>
    <w:link w:val="69"/>
    <w:autoRedefine/>
    <w:qFormat/>
    <w:uiPriority w:val="0"/>
    <w:pPr>
      <w:ind w:firstLine="420" w:firstLineChars="200"/>
    </w:pPr>
  </w:style>
  <w:style w:type="paragraph" w:styleId="12">
    <w:name w:val="caption"/>
    <w:basedOn w:val="1"/>
    <w:next w:val="1"/>
    <w:autoRedefine/>
    <w:qFormat/>
    <w:uiPriority w:val="0"/>
    <w:pPr>
      <w:keepNext/>
      <w:snapToGrid w:val="0"/>
      <w:jc w:val="center"/>
    </w:pPr>
    <w:rPr>
      <w:rFonts w:ascii="宋体" w:hAnsi="宋体"/>
    </w:rPr>
  </w:style>
  <w:style w:type="paragraph" w:styleId="13">
    <w:name w:val="Document Map"/>
    <w:basedOn w:val="1"/>
    <w:link w:val="63"/>
    <w:autoRedefine/>
    <w:qFormat/>
    <w:uiPriority w:val="0"/>
    <w:rPr>
      <w:rFonts w:ascii="宋体"/>
      <w:sz w:val="18"/>
      <w:szCs w:val="18"/>
    </w:rPr>
  </w:style>
  <w:style w:type="paragraph" w:styleId="14">
    <w:name w:val="annotation text"/>
    <w:basedOn w:val="1"/>
    <w:link w:val="66"/>
    <w:autoRedefine/>
    <w:qFormat/>
    <w:uiPriority w:val="0"/>
    <w:pPr>
      <w:jc w:val="left"/>
    </w:pPr>
  </w:style>
  <w:style w:type="paragraph" w:styleId="15">
    <w:name w:val="Body Text"/>
    <w:basedOn w:val="1"/>
    <w:next w:val="1"/>
    <w:link w:val="58"/>
    <w:autoRedefine/>
    <w:qFormat/>
    <w:uiPriority w:val="0"/>
    <w:pPr>
      <w:jc w:val="center"/>
    </w:pPr>
    <w:rPr>
      <w:sz w:val="24"/>
    </w:rPr>
  </w:style>
  <w:style w:type="paragraph" w:styleId="16">
    <w:name w:val="Body Text Indent"/>
    <w:basedOn w:val="1"/>
    <w:next w:val="1"/>
    <w:link w:val="54"/>
    <w:autoRedefine/>
    <w:qFormat/>
    <w:uiPriority w:val="0"/>
    <w:pPr>
      <w:ind w:firstLine="480"/>
    </w:pPr>
    <w:rPr>
      <w:sz w:val="24"/>
    </w:rPr>
  </w:style>
  <w:style w:type="paragraph" w:styleId="17">
    <w:name w:val="Block Text"/>
    <w:basedOn w:val="1"/>
    <w:autoRedefine/>
    <w:qFormat/>
    <w:uiPriority w:val="99"/>
    <w:pPr>
      <w:spacing w:line="440" w:lineRule="exact"/>
      <w:ind w:left="113" w:right="113" w:firstLine="567"/>
    </w:pPr>
    <w:rPr>
      <w:rFonts w:ascii="仿宋_GB2312" w:eastAsia="仿宋_GB2312"/>
      <w:sz w:val="28"/>
    </w:rPr>
  </w:style>
  <w:style w:type="paragraph" w:styleId="18">
    <w:name w:val="Plain Text"/>
    <w:basedOn w:val="1"/>
    <w:link w:val="50"/>
    <w:autoRedefine/>
    <w:qFormat/>
    <w:uiPriority w:val="0"/>
    <w:rPr>
      <w:rFonts w:ascii="Calibri" w:hAnsi="Calibri"/>
      <w:sz w:val="24"/>
      <w:szCs w:val="22"/>
    </w:rPr>
  </w:style>
  <w:style w:type="paragraph" w:styleId="19">
    <w:name w:val="Date"/>
    <w:basedOn w:val="1"/>
    <w:next w:val="1"/>
    <w:autoRedefine/>
    <w:qFormat/>
    <w:uiPriority w:val="0"/>
    <w:rPr>
      <w:b/>
      <w:sz w:val="32"/>
    </w:rPr>
  </w:style>
  <w:style w:type="paragraph" w:styleId="20">
    <w:name w:val="Body Text Indent 2"/>
    <w:basedOn w:val="1"/>
    <w:autoRedefine/>
    <w:qFormat/>
    <w:uiPriority w:val="0"/>
    <w:pPr>
      <w:framePr w:w="9122" w:h="13111" w:hSpace="180" w:wrap="around" w:vAnchor="text" w:hAnchor="page" w:x="1479" w:y="151"/>
      <w:pBdr>
        <w:top w:val="single" w:color="auto" w:sz="6" w:space="1"/>
        <w:left w:val="single" w:color="auto" w:sz="6" w:space="1"/>
        <w:bottom w:val="single" w:color="auto" w:sz="6" w:space="1"/>
        <w:right w:val="single" w:color="auto" w:sz="6" w:space="1"/>
      </w:pBdr>
      <w:spacing w:line="300" w:lineRule="auto"/>
      <w:ind w:firstLine="240" w:firstLineChars="100"/>
    </w:pPr>
    <w:rPr>
      <w:sz w:val="24"/>
    </w:rPr>
  </w:style>
  <w:style w:type="paragraph" w:styleId="21">
    <w:name w:val="Balloon Text"/>
    <w:basedOn w:val="1"/>
    <w:link w:val="60"/>
    <w:autoRedefine/>
    <w:qFormat/>
    <w:uiPriority w:val="0"/>
    <w:rPr>
      <w:sz w:val="18"/>
      <w:szCs w:val="18"/>
    </w:rPr>
  </w:style>
  <w:style w:type="paragraph" w:styleId="22">
    <w:name w:val="footer"/>
    <w:basedOn w:val="1"/>
    <w:autoRedefine/>
    <w:qFormat/>
    <w:uiPriority w:val="0"/>
    <w:pPr>
      <w:tabs>
        <w:tab w:val="center" w:pos="4153"/>
        <w:tab w:val="right" w:pos="8306"/>
      </w:tabs>
      <w:snapToGrid w:val="0"/>
      <w:jc w:val="left"/>
    </w:pPr>
    <w:rPr>
      <w:sz w:val="18"/>
    </w:rPr>
  </w:style>
  <w:style w:type="paragraph" w:styleId="23">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autoRedefine/>
    <w:qFormat/>
    <w:uiPriority w:val="39"/>
    <w:pPr>
      <w:tabs>
        <w:tab w:val="right" w:leader="dot" w:pos="9344"/>
      </w:tabs>
    </w:pPr>
    <w:rPr>
      <w:rFonts w:ascii="黑体" w:hAnsi="宋体" w:eastAsia="黑体"/>
      <w:kern w:val="0"/>
      <w:szCs w:val="32"/>
      <w:lang w:bidi="he-IL"/>
    </w:rPr>
  </w:style>
  <w:style w:type="paragraph" w:styleId="25">
    <w:name w:val="List"/>
    <w:basedOn w:val="1"/>
    <w:autoRedefine/>
    <w:unhideWhenUsed/>
    <w:qFormat/>
    <w:uiPriority w:val="99"/>
    <w:pPr>
      <w:ind w:left="200" w:hanging="200" w:hangingChars="200"/>
      <w:contextualSpacing/>
    </w:pPr>
  </w:style>
  <w:style w:type="paragraph" w:styleId="26">
    <w:name w:val="toc 2"/>
    <w:basedOn w:val="1"/>
    <w:next w:val="1"/>
    <w:autoRedefine/>
    <w:qFormat/>
    <w:uiPriority w:val="0"/>
    <w:pPr>
      <w:ind w:left="420" w:leftChars="200"/>
    </w:pPr>
    <w:rPr>
      <w:szCs w:val="24"/>
    </w:rPr>
  </w:style>
  <w:style w:type="paragraph" w:styleId="27">
    <w:name w:val="toc 9"/>
    <w:basedOn w:val="1"/>
    <w:next w:val="1"/>
    <w:autoRedefine/>
    <w:qFormat/>
    <w:uiPriority w:val="0"/>
    <w:pPr>
      <w:ind w:left="1680"/>
      <w:jc w:val="left"/>
    </w:pPr>
    <w:rPr>
      <w:sz w:val="18"/>
      <w:szCs w:val="18"/>
    </w:rPr>
  </w:style>
  <w:style w:type="paragraph" w:styleId="28">
    <w:name w:val="Body Text 2"/>
    <w:basedOn w:val="1"/>
    <w:autoRedefine/>
    <w:qFormat/>
    <w:uiPriority w:val="0"/>
    <w:pPr>
      <w:jc w:val="right"/>
    </w:pPr>
    <w:rPr>
      <w:sz w:val="24"/>
    </w:rPr>
  </w:style>
  <w:style w:type="paragraph" w:styleId="29">
    <w:name w:val="HTML Preformatted"/>
    <w:basedOn w:val="1"/>
    <w:link w:val="102"/>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styleId="31">
    <w:name w:val="annotation subject"/>
    <w:basedOn w:val="14"/>
    <w:next w:val="14"/>
    <w:link w:val="55"/>
    <w:autoRedefine/>
    <w:qFormat/>
    <w:uiPriority w:val="0"/>
    <w:rPr>
      <w:b/>
      <w:bCs/>
    </w:rPr>
  </w:style>
  <w:style w:type="paragraph" w:styleId="32">
    <w:name w:val="Body Text First Indent"/>
    <w:basedOn w:val="15"/>
    <w:next w:val="1"/>
    <w:link w:val="96"/>
    <w:autoRedefine/>
    <w:unhideWhenUsed/>
    <w:qFormat/>
    <w:uiPriority w:val="0"/>
    <w:pPr>
      <w:spacing w:after="120"/>
      <w:ind w:firstLine="420" w:firstLineChars="100"/>
      <w:jc w:val="both"/>
    </w:pPr>
    <w:rPr>
      <w:sz w:val="21"/>
    </w:rPr>
  </w:style>
  <w:style w:type="paragraph" w:styleId="33">
    <w:name w:val="Body Text First Indent 2"/>
    <w:basedOn w:val="16"/>
    <w:next w:val="1"/>
    <w:autoRedefine/>
    <w:qFormat/>
    <w:uiPriority w:val="0"/>
    <w:pPr>
      <w:ind w:firstLine="420" w:firstLineChars="200"/>
    </w:pPr>
  </w:style>
  <w:style w:type="table" w:styleId="35">
    <w:name w:val="Table Grid"/>
    <w:basedOn w:val="3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page number"/>
    <w:basedOn w:val="36"/>
    <w:autoRedefine/>
    <w:qFormat/>
    <w:uiPriority w:val="0"/>
  </w:style>
  <w:style w:type="character" w:styleId="38">
    <w:name w:val="Hyperlink"/>
    <w:autoRedefine/>
    <w:qFormat/>
    <w:uiPriority w:val="0"/>
    <w:rPr>
      <w:color w:val="0000FF"/>
      <w:u w:val="single"/>
    </w:rPr>
  </w:style>
  <w:style w:type="character" w:styleId="39">
    <w:name w:val="annotation reference"/>
    <w:autoRedefine/>
    <w:qFormat/>
    <w:uiPriority w:val="0"/>
    <w:rPr>
      <w:sz w:val="21"/>
      <w:szCs w:val="21"/>
    </w:rPr>
  </w:style>
  <w:style w:type="paragraph" w:customStyle="1" w:styleId="40">
    <w:name w:val="Default"/>
    <w:basedOn w:val="41"/>
    <w:next w:val="42"/>
    <w:autoRedefine/>
    <w:semiHidden/>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纯文本1"/>
    <w:basedOn w:val="1"/>
    <w:next w:val="1"/>
    <w:autoRedefine/>
    <w:qFormat/>
    <w:uiPriority w:val="0"/>
    <w:pPr>
      <w:adjustRightInd w:val="0"/>
    </w:pPr>
    <w:rPr>
      <w:rFonts w:ascii="宋体" w:hAnsi="Courier New"/>
      <w:szCs w:val="20"/>
    </w:rPr>
  </w:style>
  <w:style w:type="paragraph" w:customStyle="1" w:styleId="42">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43">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character" w:customStyle="1" w:styleId="44">
    <w:name w:val="正文小四 Char"/>
    <w:link w:val="45"/>
    <w:autoRedefine/>
    <w:qFormat/>
    <w:uiPriority w:val="0"/>
    <w:rPr>
      <w:kern w:val="2"/>
      <w:sz w:val="24"/>
      <w:lang w:bidi="ar-SA"/>
    </w:rPr>
  </w:style>
  <w:style w:type="paragraph" w:customStyle="1" w:styleId="45">
    <w:name w:val="正文小四"/>
    <w:link w:val="44"/>
    <w:autoRedefine/>
    <w:qFormat/>
    <w:uiPriority w:val="0"/>
    <w:pPr>
      <w:spacing w:line="360" w:lineRule="auto"/>
      <w:ind w:firstLine="200" w:firstLineChars="200"/>
    </w:pPr>
    <w:rPr>
      <w:rFonts w:ascii="Times New Roman" w:hAnsi="Times New Roman" w:eastAsia="Times New Roman" w:cs="Times New Roman"/>
      <w:kern w:val="2"/>
      <w:sz w:val="24"/>
      <w:lang w:val="en-US" w:eastAsia="zh-CN" w:bidi="ar-SA"/>
    </w:rPr>
  </w:style>
  <w:style w:type="character" w:customStyle="1" w:styleId="46">
    <w:name w:val="表头样式1 Char"/>
    <w:link w:val="47"/>
    <w:autoRedefine/>
    <w:qFormat/>
    <w:uiPriority w:val="0"/>
    <w:rPr>
      <w:rFonts w:eastAsia="黑体"/>
      <w:b/>
      <w:kern w:val="2"/>
      <w:sz w:val="24"/>
      <w:lang w:bidi="ar-SA"/>
    </w:rPr>
  </w:style>
  <w:style w:type="paragraph" w:customStyle="1" w:styleId="47">
    <w:name w:val="表头样式1"/>
    <w:basedOn w:val="1"/>
    <w:link w:val="46"/>
    <w:autoRedefine/>
    <w:qFormat/>
    <w:uiPriority w:val="0"/>
    <w:pPr>
      <w:spacing w:after="80" w:line="480" w:lineRule="atLeast"/>
      <w:jc w:val="center"/>
    </w:pPr>
    <w:rPr>
      <w:rFonts w:eastAsia="黑体"/>
      <w:b/>
      <w:sz w:val="24"/>
    </w:rPr>
  </w:style>
  <w:style w:type="character" w:customStyle="1" w:styleId="48">
    <w:name w:val="表头 Char"/>
    <w:link w:val="49"/>
    <w:autoRedefine/>
    <w:qFormat/>
    <w:uiPriority w:val="0"/>
    <w:rPr>
      <w:rFonts w:eastAsia="黑体"/>
      <w:kern w:val="2"/>
      <w:sz w:val="24"/>
      <w:szCs w:val="24"/>
    </w:rPr>
  </w:style>
  <w:style w:type="paragraph" w:customStyle="1" w:styleId="49">
    <w:name w:val="表头"/>
    <w:basedOn w:val="12"/>
    <w:link w:val="48"/>
    <w:autoRedefine/>
    <w:qFormat/>
    <w:uiPriority w:val="0"/>
    <w:pPr>
      <w:adjustRightInd w:val="0"/>
      <w:spacing w:before="93" w:beforeLines="30" w:after="93" w:afterLines="30" w:line="440" w:lineRule="exact"/>
      <w:jc w:val="center"/>
      <w:textAlignment w:val="baseline"/>
    </w:pPr>
    <w:rPr>
      <w:rFonts w:eastAsia="黑体"/>
      <w:sz w:val="24"/>
      <w:szCs w:val="24"/>
    </w:rPr>
  </w:style>
  <w:style w:type="character" w:customStyle="1" w:styleId="50">
    <w:name w:val="纯文本 字符"/>
    <w:link w:val="18"/>
    <w:autoRedefine/>
    <w:qFormat/>
    <w:uiPriority w:val="0"/>
    <w:rPr>
      <w:rFonts w:ascii="Calibri" w:hAnsi="Calibri"/>
      <w:kern w:val="2"/>
      <w:sz w:val="24"/>
      <w:szCs w:val="22"/>
    </w:rPr>
  </w:style>
  <w:style w:type="character" w:customStyle="1" w:styleId="51">
    <w:name w:val="正文缩进 Char"/>
    <w:autoRedefine/>
    <w:qFormat/>
    <w:uiPriority w:val="0"/>
    <w:rPr>
      <w:rFonts w:eastAsia="宋体"/>
      <w:kern w:val="2"/>
      <w:sz w:val="21"/>
      <w:szCs w:val="24"/>
      <w:lang w:val="en-US" w:eastAsia="zh-CN" w:bidi="ar-SA"/>
    </w:rPr>
  </w:style>
  <w:style w:type="character" w:customStyle="1" w:styleId="52">
    <w:name w:val="报告表正文 Char"/>
    <w:link w:val="53"/>
    <w:autoRedefine/>
    <w:qFormat/>
    <w:uiPriority w:val="0"/>
    <w:rPr>
      <w:rFonts w:eastAsia="楷体_GB2312"/>
      <w:kern w:val="2"/>
      <w:sz w:val="24"/>
      <w:szCs w:val="24"/>
      <w:lang w:val="en-US" w:eastAsia="zh-CN" w:bidi="ar-SA"/>
    </w:rPr>
  </w:style>
  <w:style w:type="paragraph" w:customStyle="1" w:styleId="53">
    <w:name w:val="报告表正文"/>
    <w:basedOn w:val="1"/>
    <w:link w:val="52"/>
    <w:autoRedefine/>
    <w:qFormat/>
    <w:uiPriority w:val="0"/>
    <w:pPr>
      <w:spacing w:line="360" w:lineRule="auto"/>
      <w:ind w:firstLine="200" w:firstLineChars="200"/>
    </w:pPr>
    <w:rPr>
      <w:rFonts w:eastAsia="楷体_GB2312"/>
      <w:sz w:val="24"/>
      <w:szCs w:val="24"/>
    </w:rPr>
  </w:style>
  <w:style w:type="character" w:customStyle="1" w:styleId="54">
    <w:name w:val="正文文本缩进 字符"/>
    <w:link w:val="16"/>
    <w:autoRedefine/>
    <w:qFormat/>
    <w:uiPriority w:val="0"/>
    <w:rPr>
      <w:rFonts w:ascii="仿宋_GB2312" w:hAnsi="Times New Roman" w:eastAsia="仿宋_GB2312" w:cs="Times New Roman"/>
      <w:kern w:val="2"/>
      <w:sz w:val="28"/>
      <w:szCs w:val="24"/>
    </w:rPr>
  </w:style>
  <w:style w:type="character" w:customStyle="1" w:styleId="55">
    <w:name w:val="批注主题 字符"/>
    <w:link w:val="31"/>
    <w:autoRedefine/>
    <w:qFormat/>
    <w:uiPriority w:val="0"/>
    <w:rPr>
      <w:b/>
      <w:bCs/>
      <w:kern w:val="2"/>
      <w:sz w:val="21"/>
    </w:rPr>
  </w:style>
  <w:style w:type="character" w:customStyle="1" w:styleId="56">
    <w:name w:val="样式 环科院正文 Char Char + Times New Roman Char"/>
    <w:link w:val="57"/>
    <w:autoRedefine/>
    <w:qFormat/>
    <w:uiPriority w:val="0"/>
    <w:rPr>
      <w:rFonts w:eastAsia="宋体"/>
      <w:bCs/>
      <w:sz w:val="24"/>
      <w:szCs w:val="24"/>
      <w:lang w:val="en-US" w:eastAsia="zh-CN" w:bidi="ar-SA"/>
    </w:rPr>
  </w:style>
  <w:style w:type="paragraph" w:customStyle="1" w:styleId="57">
    <w:name w:val="样式 环科院正文 Char Char + Times New Roman"/>
    <w:basedOn w:val="1"/>
    <w:link w:val="56"/>
    <w:autoRedefine/>
    <w:qFormat/>
    <w:uiPriority w:val="0"/>
    <w:pPr>
      <w:spacing w:line="300" w:lineRule="auto"/>
      <w:ind w:firstLine="200" w:firstLineChars="200"/>
    </w:pPr>
    <w:rPr>
      <w:bCs/>
      <w:kern w:val="0"/>
      <w:sz w:val="24"/>
      <w:szCs w:val="24"/>
    </w:rPr>
  </w:style>
  <w:style w:type="character" w:customStyle="1" w:styleId="58">
    <w:name w:val="正文文本 字符"/>
    <w:link w:val="15"/>
    <w:autoRedefine/>
    <w:qFormat/>
    <w:uiPriority w:val="0"/>
    <w:rPr>
      <w:kern w:val="2"/>
      <w:sz w:val="24"/>
    </w:rPr>
  </w:style>
  <w:style w:type="character" w:customStyle="1" w:styleId="59">
    <w:name w:val="正文缩进 Char1"/>
    <w:autoRedefine/>
    <w:qFormat/>
    <w:uiPriority w:val="0"/>
    <w:rPr>
      <w:rFonts w:eastAsia="宋体"/>
      <w:kern w:val="2"/>
      <w:sz w:val="21"/>
      <w:lang w:val="en-US" w:eastAsia="zh-CN" w:bidi="ar-SA"/>
    </w:rPr>
  </w:style>
  <w:style w:type="character" w:customStyle="1" w:styleId="60">
    <w:name w:val="批注框文本 字符"/>
    <w:link w:val="21"/>
    <w:autoRedefine/>
    <w:qFormat/>
    <w:uiPriority w:val="0"/>
    <w:rPr>
      <w:rFonts w:eastAsia="宋体"/>
      <w:kern w:val="2"/>
      <w:sz w:val="18"/>
      <w:szCs w:val="18"/>
      <w:lang w:val="en-US" w:eastAsia="zh-CN" w:bidi="ar-SA"/>
    </w:rPr>
  </w:style>
  <w:style w:type="character" w:customStyle="1" w:styleId="61">
    <w:name w:val="环科院表格标题 Char"/>
    <w:link w:val="62"/>
    <w:autoRedefine/>
    <w:qFormat/>
    <w:uiPriority w:val="0"/>
    <w:rPr>
      <w:rFonts w:ascii="宋体" w:hAnsi="宋体" w:eastAsia="宋体"/>
      <w:b/>
      <w:sz w:val="24"/>
      <w:lang w:val="en-US" w:eastAsia="zh-CN" w:bidi="ar-SA"/>
    </w:rPr>
  </w:style>
  <w:style w:type="paragraph" w:customStyle="1" w:styleId="62">
    <w:name w:val="环科院表格标题"/>
    <w:basedOn w:val="1"/>
    <w:link w:val="61"/>
    <w:autoRedefine/>
    <w:qFormat/>
    <w:uiPriority w:val="0"/>
    <w:pPr>
      <w:jc w:val="center"/>
    </w:pPr>
    <w:rPr>
      <w:rFonts w:ascii="宋体" w:hAnsi="宋体"/>
      <w:b/>
      <w:kern w:val="0"/>
      <w:sz w:val="24"/>
    </w:rPr>
  </w:style>
  <w:style w:type="character" w:customStyle="1" w:styleId="63">
    <w:name w:val="文档结构图 字符"/>
    <w:link w:val="13"/>
    <w:autoRedefine/>
    <w:qFormat/>
    <w:uiPriority w:val="0"/>
    <w:rPr>
      <w:rFonts w:ascii="宋体"/>
      <w:kern w:val="2"/>
      <w:sz w:val="18"/>
      <w:szCs w:val="18"/>
    </w:rPr>
  </w:style>
  <w:style w:type="character" w:customStyle="1" w:styleId="64">
    <w:name w:val="正文1 Char"/>
    <w:link w:val="65"/>
    <w:autoRedefine/>
    <w:qFormat/>
    <w:uiPriority w:val="0"/>
    <w:rPr>
      <w:rFonts w:eastAsia="宋体"/>
      <w:color w:val="0000FF"/>
      <w:kern w:val="2"/>
      <w:sz w:val="28"/>
      <w:szCs w:val="24"/>
      <w:lang w:val="en-US" w:eastAsia="zh-CN" w:bidi="ar-SA"/>
    </w:rPr>
  </w:style>
  <w:style w:type="paragraph" w:customStyle="1" w:styleId="65">
    <w:name w:val="正文1"/>
    <w:basedOn w:val="1"/>
    <w:link w:val="64"/>
    <w:autoRedefine/>
    <w:qFormat/>
    <w:uiPriority w:val="0"/>
    <w:pPr>
      <w:adjustRightInd w:val="0"/>
      <w:snapToGrid w:val="0"/>
      <w:spacing w:line="360" w:lineRule="auto"/>
      <w:ind w:firstLine="200" w:firstLineChars="200"/>
    </w:pPr>
    <w:rPr>
      <w:color w:val="0000FF"/>
      <w:sz w:val="28"/>
      <w:szCs w:val="24"/>
    </w:rPr>
  </w:style>
  <w:style w:type="character" w:customStyle="1" w:styleId="66">
    <w:name w:val="批注文字 字符"/>
    <w:link w:val="14"/>
    <w:autoRedefine/>
    <w:qFormat/>
    <w:uiPriority w:val="0"/>
    <w:rPr>
      <w:kern w:val="2"/>
      <w:sz w:val="21"/>
    </w:rPr>
  </w:style>
  <w:style w:type="character" w:customStyle="1" w:styleId="67">
    <w:name w:val="表内格式 Char1"/>
    <w:link w:val="68"/>
    <w:autoRedefine/>
    <w:qFormat/>
    <w:uiPriority w:val="0"/>
    <w:rPr>
      <w:rFonts w:ascii="宋体"/>
      <w:kern w:val="2"/>
      <w:sz w:val="18"/>
    </w:rPr>
  </w:style>
  <w:style w:type="paragraph" w:customStyle="1" w:styleId="68">
    <w:name w:val="表内格式"/>
    <w:basedOn w:val="1"/>
    <w:link w:val="67"/>
    <w:autoRedefine/>
    <w:qFormat/>
    <w:uiPriority w:val="0"/>
    <w:pPr>
      <w:spacing w:line="280" w:lineRule="exact"/>
      <w:jc w:val="center"/>
    </w:pPr>
    <w:rPr>
      <w:rFonts w:ascii="宋体"/>
      <w:sz w:val="18"/>
    </w:rPr>
  </w:style>
  <w:style w:type="character" w:customStyle="1" w:styleId="69">
    <w:name w:val="正文缩进 字符"/>
    <w:link w:val="9"/>
    <w:autoRedefine/>
    <w:qFormat/>
    <w:uiPriority w:val="0"/>
    <w:rPr>
      <w:rFonts w:ascii="Times New Roman" w:hAnsi="Times New Roman" w:eastAsia="宋体" w:cs="Times New Roman"/>
      <w:kern w:val="2"/>
      <w:sz w:val="21"/>
    </w:rPr>
  </w:style>
  <w:style w:type="character" w:customStyle="1" w:styleId="70">
    <w:name w:val="标题 1 字符"/>
    <w:link w:val="7"/>
    <w:autoRedefine/>
    <w:qFormat/>
    <w:uiPriority w:val="0"/>
    <w:rPr>
      <w:b/>
      <w:kern w:val="2"/>
      <w:sz w:val="24"/>
    </w:rPr>
  </w:style>
  <w:style w:type="paragraph" w:customStyle="1" w:styleId="71">
    <w:name w:val="Char"/>
    <w:basedOn w:val="1"/>
    <w:autoRedefine/>
    <w:qFormat/>
    <w:uiPriority w:val="0"/>
    <w:pPr>
      <w:spacing w:line="360" w:lineRule="auto"/>
    </w:pPr>
    <w:rPr>
      <w:rFonts w:ascii="Tahoma" w:hAnsi="Tahoma"/>
      <w:sz w:val="28"/>
    </w:rPr>
  </w:style>
  <w:style w:type="paragraph" w:customStyle="1" w:styleId="72">
    <w:name w:val="样式 首行缩进"/>
    <w:basedOn w:val="1"/>
    <w:autoRedefine/>
    <w:qFormat/>
    <w:uiPriority w:val="0"/>
    <w:pPr>
      <w:spacing w:before="60" w:after="60" w:line="360" w:lineRule="auto"/>
      <w:ind w:firstLine="480" w:firstLineChars="200"/>
    </w:pPr>
    <w:rPr>
      <w:rFonts w:cs="宋体"/>
      <w:sz w:val="24"/>
    </w:rPr>
  </w:style>
  <w:style w:type="paragraph" w:customStyle="1" w:styleId="73">
    <w:name w:val="基准页眉样式"/>
    <w:basedOn w:val="1"/>
    <w:autoRedefine/>
    <w:qFormat/>
    <w:uiPriority w:val="0"/>
    <w:pPr>
      <w:jc w:val="center"/>
    </w:pPr>
    <w:rPr>
      <w:rFonts w:ascii="黑体" w:eastAsia="黑体"/>
      <w:bCs/>
      <w:spacing w:val="20"/>
      <w:w w:val="150"/>
      <w:sz w:val="30"/>
      <w:szCs w:val="30"/>
    </w:rPr>
  </w:style>
  <w:style w:type="paragraph" w:customStyle="1" w:styleId="74">
    <w:name w:val="Table Paragraph"/>
    <w:basedOn w:val="1"/>
    <w:autoRedefine/>
    <w:qFormat/>
    <w:uiPriority w:val="1"/>
    <w:pPr>
      <w:jc w:val="left"/>
    </w:pPr>
    <w:rPr>
      <w:rFonts w:ascii="Calibri" w:hAnsi="Calibri" w:cs="Calibri"/>
      <w:kern w:val="0"/>
      <w:sz w:val="22"/>
      <w:szCs w:val="22"/>
      <w:lang w:eastAsia="en-US"/>
    </w:rPr>
  </w:style>
  <w:style w:type="paragraph" w:customStyle="1" w:styleId="75">
    <w:name w:val="Char1 Char Char Char"/>
    <w:basedOn w:val="1"/>
    <w:autoRedefine/>
    <w:qFormat/>
    <w:uiPriority w:val="0"/>
    <w:pPr>
      <w:spacing w:line="360" w:lineRule="auto"/>
      <w:ind w:firstLine="200" w:firstLineChars="200"/>
    </w:pPr>
    <w:rPr>
      <w:rFonts w:ascii="宋体" w:hAnsi="宋体" w:cs="宋体"/>
      <w:sz w:val="24"/>
      <w:szCs w:val="24"/>
    </w:rPr>
  </w:style>
  <w:style w:type="paragraph" w:customStyle="1" w:styleId="76">
    <w:name w:val="发布实施日期"/>
    <w:basedOn w:val="1"/>
    <w:autoRedefine/>
    <w:qFormat/>
    <w:uiPriority w:val="0"/>
    <w:pPr>
      <w:widowControl/>
    </w:pPr>
    <w:rPr>
      <w:rFonts w:ascii="黑体" w:hAnsi="宋体" w:eastAsia="黑体"/>
      <w:kern w:val="0"/>
      <w:sz w:val="28"/>
      <w:lang w:bidi="he-IL"/>
    </w:rPr>
  </w:style>
  <w:style w:type="paragraph" w:customStyle="1" w:styleId="77">
    <w:name w:val="列出段落1"/>
    <w:basedOn w:val="1"/>
    <w:autoRedefine/>
    <w:qFormat/>
    <w:uiPriority w:val="0"/>
    <w:pPr>
      <w:ind w:firstLine="420" w:firstLineChars="200"/>
    </w:pPr>
    <w:rPr>
      <w:rFonts w:ascii="Calibri" w:hAnsi="Calibri"/>
      <w:szCs w:val="22"/>
    </w:rPr>
  </w:style>
  <w:style w:type="paragraph" w:customStyle="1" w:styleId="78">
    <w:name w:val="表格(另)"/>
    <w:basedOn w:val="1"/>
    <w:next w:val="1"/>
    <w:autoRedefine/>
    <w:qFormat/>
    <w:uiPriority w:val="0"/>
    <w:pPr>
      <w:spacing w:line="312" w:lineRule="auto"/>
      <w:jc w:val="center"/>
    </w:pPr>
    <w:rPr>
      <w:szCs w:val="21"/>
    </w:rPr>
  </w:style>
  <w:style w:type="paragraph" w:customStyle="1" w:styleId="79">
    <w:name w:val="君邦正文"/>
    <w:autoRedefine/>
    <w:qFormat/>
    <w:uiPriority w:val="0"/>
    <w:pPr>
      <w:spacing w:after="60" w:line="360" w:lineRule="auto"/>
      <w:ind w:firstLine="480" w:firstLineChars="200"/>
      <w:jc w:val="both"/>
    </w:pPr>
    <w:rPr>
      <w:rFonts w:ascii="宋体" w:hAnsi="宋体" w:eastAsia="宋体" w:cs="Times New Roman"/>
      <w:bCs/>
      <w:snapToGrid w:val="0"/>
      <w:sz w:val="24"/>
      <w:lang w:val="en-US" w:eastAsia="zh-CN" w:bidi="ar-SA"/>
    </w:rPr>
  </w:style>
  <w:style w:type="paragraph" w:customStyle="1" w:styleId="80">
    <w:name w:val="Char Char3"/>
    <w:basedOn w:val="1"/>
    <w:autoRedefine/>
    <w:qFormat/>
    <w:uiPriority w:val="0"/>
    <w:pPr>
      <w:spacing w:after="148" w:afterLines="50" w:line="560" w:lineRule="exact"/>
      <w:ind w:right="1224" w:rightChars="583" w:firstLine="600" w:firstLineChars="250"/>
    </w:pPr>
    <w:rPr>
      <w:rFonts w:eastAsia="黑体"/>
      <w:sz w:val="30"/>
      <w:szCs w:val="30"/>
    </w:rPr>
  </w:style>
  <w:style w:type="paragraph" w:customStyle="1" w:styleId="81">
    <w:name w:val="表 头"/>
    <w:basedOn w:val="1"/>
    <w:autoRedefine/>
    <w:qFormat/>
    <w:uiPriority w:val="0"/>
    <w:pPr>
      <w:tabs>
        <w:tab w:val="left" w:pos="1418"/>
      </w:tabs>
      <w:adjustRightInd w:val="0"/>
      <w:spacing w:line="360" w:lineRule="auto"/>
      <w:jc w:val="center"/>
    </w:pPr>
    <w:rPr>
      <w:b/>
      <w:color w:val="000000"/>
      <w:kern w:val="24"/>
      <w:sz w:val="24"/>
      <w:szCs w:val="24"/>
      <w:lang w:val="zh-CN"/>
    </w:rPr>
  </w:style>
  <w:style w:type="paragraph" w:customStyle="1" w:styleId="82">
    <w:name w:val="标准的标志"/>
    <w:basedOn w:val="1"/>
    <w:autoRedefine/>
    <w:qFormat/>
    <w:uiPriority w:val="0"/>
    <w:pPr>
      <w:widowControl/>
    </w:pPr>
    <w:rPr>
      <w:rFonts w:ascii="宋体" w:hAnsi="Garamond"/>
      <w:b/>
      <w:bCs/>
      <w:i/>
      <w:iCs/>
      <w:kern w:val="0"/>
      <w:sz w:val="84"/>
      <w:lang w:bidi="he-IL"/>
      <w14:shadow w14:blurRad="50800" w14:dist="38100" w14:dir="2700000" w14:sx="100000" w14:sy="100000" w14:kx="0" w14:ky="0" w14:algn="tl">
        <w14:srgbClr w14:val="000000">
          <w14:alpha w14:val="60000"/>
        </w14:srgbClr>
      </w14:shadow>
    </w:rPr>
  </w:style>
  <w:style w:type="paragraph" w:customStyle="1" w:styleId="83">
    <w:name w:val="Char3"/>
    <w:basedOn w:val="1"/>
    <w:autoRedefine/>
    <w:qFormat/>
    <w:uiPriority w:val="0"/>
    <w:rPr>
      <w:szCs w:val="24"/>
    </w:rPr>
  </w:style>
  <w:style w:type="paragraph" w:customStyle="1" w:styleId="84">
    <w:name w:val="默认段落字体 Para Char Char Char Char"/>
    <w:basedOn w:val="1"/>
    <w:autoRedefine/>
    <w:qFormat/>
    <w:uiPriority w:val="0"/>
    <w:rPr>
      <w:szCs w:val="21"/>
    </w:rPr>
  </w:style>
  <w:style w:type="paragraph" w:customStyle="1" w:styleId="85">
    <w:name w:val="华能大连店厂企业标准"/>
    <w:basedOn w:val="1"/>
    <w:next w:val="1"/>
    <w:autoRedefine/>
    <w:qFormat/>
    <w:uiPriority w:val="0"/>
    <w:pPr>
      <w:widowControl/>
      <w:spacing w:before="420" w:after="60" w:line="320" w:lineRule="exact"/>
      <w:jc w:val="center"/>
    </w:pPr>
    <w:rPr>
      <w:rFonts w:ascii="宋体" w:hAnsi="宋体"/>
      <w:b/>
      <w:bCs/>
      <w:caps/>
      <w:spacing w:val="-18"/>
      <w:w w:val="150"/>
      <w:kern w:val="36"/>
      <w:sz w:val="40"/>
      <w:szCs w:val="40"/>
      <w:lang w:bidi="he-IL"/>
    </w:rPr>
  </w:style>
  <w:style w:type="paragraph" w:customStyle="1" w:styleId="86">
    <w:name w:val="标准编号"/>
    <w:basedOn w:val="1"/>
    <w:autoRedefine/>
    <w:qFormat/>
    <w:uiPriority w:val="0"/>
    <w:pPr>
      <w:widowControl/>
      <w:tabs>
        <w:tab w:val="right" w:pos="3960"/>
      </w:tabs>
      <w:spacing w:line="240" w:lineRule="atLeast"/>
      <w:ind w:right="174" w:firstLine="6015" w:firstLineChars="2140"/>
    </w:pPr>
    <w:rPr>
      <w:rFonts w:eastAsia="MS PMincho"/>
      <w:b/>
      <w:bCs/>
      <w:kern w:val="0"/>
      <w:sz w:val="28"/>
      <w:lang w:bidi="he-IL"/>
    </w:rPr>
  </w:style>
  <w:style w:type="paragraph" w:styleId="87">
    <w:name w:val="List Paragraph"/>
    <w:basedOn w:val="1"/>
    <w:autoRedefine/>
    <w:qFormat/>
    <w:uiPriority w:val="99"/>
    <w:pPr>
      <w:ind w:firstLine="420" w:firstLineChars="200"/>
    </w:pPr>
    <w:rPr>
      <w:szCs w:val="22"/>
    </w:rPr>
  </w:style>
  <w:style w:type="paragraph" w:customStyle="1" w:styleId="88">
    <w:name w:val="Char Char1 Char"/>
    <w:basedOn w:val="1"/>
    <w:autoRedefine/>
    <w:qFormat/>
    <w:uiPriority w:val="0"/>
    <w:pPr>
      <w:spacing w:line="360" w:lineRule="auto"/>
      <w:ind w:firstLine="200" w:firstLineChars="200"/>
    </w:pPr>
    <w:rPr>
      <w:rFonts w:ascii="宋体" w:hAnsi="宋体" w:cs="宋体"/>
      <w:sz w:val="24"/>
      <w:szCs w:val="24"/>
    </w:rPr>
  </w:style>
  <w:style w:type="paragraph" w:customStyle="1" w:styleId="89">
    <w:name w:val="标题3 Char Char Char Char"/>
    <w:basedOn w:val="1"/>
    <w:autoRedefine/>
    <w:qFormat/>
    <w:uiPriority w:val="0"/>
    <w:pPr>
      <w:spacing w:after="156" w:afterLines="50" w:line="560" w:lineRule="exact"/>
    </w:pPr>
    <w:rPr>
      <w:rFonts w:eastAsia="黑体"/>
      <w:sz w:val="30"/>
      <w:szCs w:val="30"/>
    </w:rPr>
  </w:style>
  <w:style w:type="paragraph" w:customStyle="1" w:styleId="90">
    <w:name w:val="表格文字"/>
    <w:basedOn w:val="1"/>
    <w:autoRedefine/>
    <w:qFormat/>
    <w:uiPriority w:val="0"/>
    <w:pPr>
      <w:jc w:val="center"/>
    </w:pPr>
    <w:rPr>
      <w:snapToGrid w:val="0"/>
      <w:kern w:val="0"/>
      <w:sz w:val="24"/>
    </w:rPr>
  </w:style>
  <w:style w:type="paragraph" w:customStyle="1" w:styleId="91">
    <w:name w:val="样式 首行缩进:  1.34 厘米"/>
    <w:basedOn w:val="1"/>
    <w:autoRedefine/>
    <w:qFormat/>
    <w:uiPriority w:val="0"/>
    <w:pPr>
      <w:spacing w:line="360" w:lineRule="auto"/>
      <w:ind w:firstLine="567"/>
    </w:pPr>
    <w:rPr>
      <w:sz w:val="28"/>
    </w:rPr>
  </w:style>
  <w:style w:type="paragraph" w:customStyle="1" w:styleId="92">
    <w:name w:val="列出段落2"/>
    <w:basedOn w:val="1"/>
    <w:autoRedefine/>
    <w:semiHidden/>
    <w:qFormat/>
    <w:uiPriority w:val="0"/>
    <w:pPr>
      <w:ind w:firstLine="420" w:firstLineChars="200"/>
    </w:pPr>
    <w:rPr>
      <w:rFonts w:ascii="Calibri" w:hAnsi="Calibri"/>
      <w:szCs w:val="21"/>
    </w:rPr>
  </w:style>
  <w:style w:type="paragraph" w:customStyle="1" w:styleId="93">
    <w:name w:val="报告书正文"/>
    <w:basedOn w:val="1"/>
    <w:link w:val="94"/>
    <w:autoRedefine/>
    <w:qFormat/>
    <w:uiPriority w:val="0"/>
    <w:pPr>
      <w:widowControl/>
      <w:spacing w:line="360" w:lineRule="auto"/>
      <w:ind w:firstLine="480" w:firstLineChars="200"/>
    </w:pPr>
    <w:rPr>
      <w:sz w:val="24"/>
    </w:rPr>
  </w:style>
  <w:style w:type="character" w:customStyle="1" w:styleId="94">
    <w:name w:val="报告书正文 Char Char"/>
    <w:link w:val="93"/>
    <w:autoRedefine/>
    <w:qFormat/>
    <w:locked/>
    <w:uiPriority w:val="0"/>
    <w:rPr>
      <w:kern w:val="2"/>
      <w:sz w:val="24"/>
    </w:rPr>
  </w:style>
  <w:style w:type="paragraph" w:customStyle="1" w:styleId="95">
    <w:name w:val="表格内"/>
    <w:autoRedefine/>
    <w:qFormat/>
    <w:uiPriority w:val="0"/>
    <w:pPr>
      <w:jc w:val="center"/>
    </w:pPr>
    <w:rPr>
      <w:rFonts w:ascii="Times New Roman" w:hAnsi="Times New Roman" w:eastAsia="宋体" w:cs="Times New Roman"/>
      <w:kern w:val="2"/>
      <w:sz w:val="18"/>
      <w:szCs w:val="21"/>
      <w:lang w:val="en-US" w:eastAsia="zh-CN" w:bidi="ar-SA"/>
    </w:rPr>
  </w:style>
  <w:style w:type="character" w:customStyle="1" w:styleId="96">
    <w:name w:val="正文首行缩进 字符"/>
    <w:basedOn w:val="58"/>
    <w:link w:val="32"/>
    <w:autoRedefine/>
    <w:qFormat/>
    <w:uiPriority w:val="0"/>
    <w:rPr>
      <w:kern w:val="2"/>
      <w:sz w:val="21"/>
    </w:rPr>
  </w:style>
  <w:style w:type="character" w:customStyle="1" w:styleId="97">
    <w:name w:val="正文样式 Char"/>
    <w:link w:val="98"/>
    <w:autoRedefine/>
    <w:qFormat/>
    <w:uiPriority w:val="0"/>
    <w:rPr>
      <w:sz w:val="24"/>
    </w:rPr>
  </w:style>
  <w:style w:type="paragraph" w:customStyle="1" w:styleId="98">
    <w:name w:val="正文样式"/>
    <w:basedOn w:val="1"/>
    <w:link w:val="97"/>
    <w:autoRedefine/>
    <w:qFormat/>
    <w:uiPriority w:val="0"/>
    <w:pPr>
      <w:adjustRightInd w:val="0"/>
      <w:spacing w:line="360" w:lineRule="auto"/>
      <w:ind w:firstLine="824" w:firstLineChars="200"/>
    </w:pPr>
    <w:rPr>
      <w:kern w:val="0"/>
      <w:sz w:val="24"/>
    </w:rPr>
  </w:style>
  <w:style w:type="paragraph" w:customStyle="1" w:styleId="99">
    <w:name w:val="表格"/>
    <w:next w:val="9"/>
    <w:autoRedefine/>
    <w:semiHidden/>
    <w:qFormat/>
    <w:uiPriority w:val="0"/>
    <w:pPr>
      <w:spacing w:line="0" w:lineRule="atLeast"/>
      <w:jc w:val="center"/>
    </w:pPr>
    <w:rPr>
      <w:rFonts w:ascii="宋体" w:hAnsi="Times New Roman" w:eastAsia="宋体" w:cs="Times New Roman"/>
      <w:sz w:val="21"/>
      <w:szCs w:val="22"/>
      <w:lang w:val="en-US" w:eastAsia="zh-CN" w:bidi="ar-SA"/>
    </w:rPr>
  </w:style>
  <w:style w:type="paragraph" w:customStyle="1" w:styleId="100">
    <w:name w:val="表格001"/>
    <w:basedOn w:val="1"/>
    <w:autoRedefine/>
    <w:qFormat/>
    <w:uiPriority w:val="0"/>
    <w:pPr>
      <w:jc w:val="center"/>
    </w:pPr>
    <w:rPr>
      <w:szCs w:val="21"/>
    </w:rPr>
  </w:style>
  <w:style w:type="character" w:customStyle="1" w:styleId="101">
    <w:name w:val="15"/>
    <w:basedOn w:val="36"/>
    <w:autoRedefine/>
    <w:qFormat/>
    <w:uiPriority w:val="0"/>
    <w:rPr>
      <w:rFonts w:hint="default" w:ascii="Times New Roman" w:hAnsi="Times New Roman" w:cs="Times New Roman"/>
    </w:rPr>
  </w:style>
  <w:style w:type="character" w:customStyle="1" w:styleId="102">
    <w:name w:val="HTML 预设格式 字符"/>
    <w:basedOn w:val="36"/>
    <w:link w:val="29"/>
    <w:autoRedefine/>
    <w:qFormat/>
    <w:uiPriority w:val="0"/>
    <w:rPr>
      <w:rFonts w:ascii="宋体" w:hAnsi="宋体"/>
      <w:sz w:val="24"/>
      <w:szCs w:val="24"/>
    </w:rPr>
  </w:style>
  <w:style w:type="paragraph" w:customStyle="1" w:styleId="103">
    <w:name w:val="表格标题1"/>
    <w:basedOn w:val="1"/>
    <w:autoRedefine/>
    <w:qFormat/>
    <w:uiPriority w:val="0"/>
    <w:pPr>
      <w:snapToGrid w:val="0"/>
      <w:spacing w:line="360" w:lineRule="auto"/>
      <w:jc w:val="center"/>
    </w:pPr>
    <w:rPr>
      <w:rFonts w:ascii="宋体"/>
      <w:b/>
      <w:spacing w:val="4"/>
      <w:sz w:val="24"/>
    </w:rPr>
  </w:style>
  <w:style w:type="paragraph" w:customStyle="1" w:styleId="104">
    <w:name w:val="样式 小四 行距: 1.5 倍行距"/>
    <w:basedOn w:val="1"/>
    <w:autoRedefine/>
    <w:qFormat/>
    <w:uiPriority w:val="0"/>
    <w:pPr>
      <w:ind w:firstLine="480" w:firstLineChars="200"/>
    </w:pPr>
    <w:rPr>
      <w:rFonts w:cs="宋体"/>
    </w:rPr>
  </w:style>
  <w:style w:type="character" w:customStyle="1" w:styleId="105">
    <w:name w:val="文本 Char"/>
    <w:link w:val="106"/>
    <w:autoRedefine/>
    <w:qFormat/>
    <w:uiPriority w:val="0"/>
    <w:rPr>
      <w:sz w:val="24"/>
    </w:rPr>
  </w:style>
  <w:style w:type="paragraph" w:customStyle="1" w:styleId="106">
    <w:name w:val="文本"/>
    <w:basedOn w:val="1"/>
    <w:link w:val="105"/>
    <w:autoRedefine/>
    <w:qFormat/>
    <w:uiPriority w:val="0"/>
    <w:pPr>
      <w:spacing w:line="360" w:lineRule="auto"/>
      <w:ind w:firstLine="480" w:firstLineChars="200"/>
    </w:pPr>
    <w:rPr>
      <w:sz w:val="24"/>
    </w:rPr>
  </w:style>
  <w:style w:type="character" w:customStyle="1" w:styleId="107">
    <w:name w:val="font31"/>
    <w:basedOn w:val="36"/>
    <w:autoRedefine/>
    <w:qFormat/>
    <w:uiPriority w:val="0"/>
    <w:rPr>
      <w:rFonts w:hint="default" w:ascii="Times New Roman" w:hAnsi="Times New Roman" w:cs="Times New Roman"/>
      <w:color w:val="000000"/>
      <w:sz w:val="24"/>
      <w:szCs w:val="24"/>
      <w:u w:val="none"/>
    </w:rPr>
  </w:style>
  <w:style w:type="character" w:customStyle="1" w:styleId="108">
    <w:name w:val="font11"/>
    <w:basedOn w:val="36"/>
    <w:autoRedefine/>
    <w:qFormat/>
    <w:uiPriority w:val="0"/>
    <w:rPr>
      <w:rFonts w:hint="eastAsia" w:ascii="宋体" w:hAnsi="宋体" w:eastAsia="宋体" w:cs="宋体"/>
      <w:color w:val="000000"/>
      <w:sz w:val="24"/>
      <w:szCs w:val="24"/>
      <w:u w:val="none"/>
    </w:rPr>
  </w:style>
  <w:style w:type="character" w:customStyle="1" w:styleId="109">
    <w:name w:val="font61"/>
    <w:basedOn w:val="36"/>
    <w:autoRedefine/>
    <w:qFormat/>
    <w:uiPriority w:val="0"/>
    <w:rPr>
      <w:rFonts w:hint="default" w:ascii="Times New Roman" w:hAnsi="Times New Roman" w:cs="Times New Roman"/>
      <w:color w:val="000000"/>
      <w:sz w:val="24"/>
      <w:szCs w:val="24"/>
      <w:u w:val="none"/>
      <w:vertAlign w:val="superscript"/>
    </w:rPr>
  </w:style>
  <w:style w:type="character" w:customStyle="1" w:styleId="110">
    <w:name w:val="font51"/>
    <w:basedOn w:val="36"/>
    <w:autoRedefine/>
    <w:qFormat/>
    <w:uiPriority w:val="0"/>
    <w:rPr>
      <w:rFonts w:hint="default" w:ascii="Times New Roman" w:hAnsi="Times New Roman" w:cs="Times New Roman"/>
      <w:color w:val="000000"/>
      <w:sz w:val="24"/>
      <w:szCs w:val="24"/>
      <w:u w:val="none"/>
      <w:vertAlign w:val="subscript"/>
    </w:rPr>
  </w:style>
  <w:style w:type="character" w:customStyle="1" w:styleId="111">
    <w:name w:val="font71"/>
    <w:basedOn w:val="36"/>
    <w:autoRedefine/>
    <w:qFormat/>
    <w:uiPriority w:val="0"/>
    <w:rPr>
      <w:rFonts w:hint="default" w:ascii="Times New Roman" w:hAnsi="Times New Roman" w:cs="Times New Roman"/>
      <w:color w:val="000000"/>
      <w:sz w:val="24"/>
      <w:szCs w:val="24"/>
      <w:u w:val="none"/>
    </w:rPr>
  </w:style>
  <w:style w:type="character" w:customStyle="1" w:styleId="112">
    <w:name w:val="font01"/>
    <w:basedOn w:val="36"/>
    <w:autoRedefine/>
    <w:qFormat/>
    <w:uiPriority w:val="0"/>
    <w:rPr>
      <w:rFonts w:hint="default" w:ascii="Times New Roman" w:hAnsi="Times New Roman" w:cs="Times New Roman"/>
      <w:color w:val="000000"/>
      <w:sz w:val="21"/>
      <w:szCs w:val="21"/>
      <w:u w:val="none"/>
    </w:rPr>
  </w:style>
  <w:style w:type="character" w:customStyle="1" w:styleId="113">
    <w:name w:val="font41"/>
    <w:basedOn w:val="36"/>
    <w:autoRedefine/>
    <w:qFormat/>
    <w:uiPriority w:val="0"/>
    <w:rPr>
      <w:rFonts w:hint="eastAsia" w:ascii="宋体" w:hAnsi="宋体" w:eastAsia="宋体" w:cs="宋体"/>
      <w:color w:val="000000"/>
      <w:sz w:val="21"/>
      <w:szCs w:val="21"/>
      <w:u w:val="none"/>
    </w:rPr>
  </w:style>
  <w:style w:type="paragraph" w:customStyle="1" w:styleId="114">
    <w:name w:val="表格标题"/>
    <w:basedOn w:val="1"/>
    <w:next w:val="1"/>
    <w:autoRedefine/>
    <w:qFormat/>
    <w:uiPriority w:val="0"/>
    <w:pPr>
      <w:jc w:val="center"/>
    </w:pPr>
    <w:rPr>
      <w:rFonts w:eastAsia="黑体"/>
      <w:b/>
      <w:kern w:val="0"/>
      <w:sz w:val="24"/>
    </w:rPr>
  </w:style>
  <w:style w:type="paragraph" w:customStyle="1" w:styleId="115">
    <w:name w:val="CB表头1"/>
    <w:basedOn w:val="116"/>
    <w:next w:val="116"/>
    <w:autoRedefine/>
    <w:qFormat/>
    <w:uiPriority w:val="0"/>
    <w:pPr>
      <w:numPr>
        <w:ilvl w:val="0"/>
        <w:numId w:val="1"/>
      </w:numPr>
      <w:spacing w:before="50" w:beforeLines="50" w:line="240" w:lineRule="auto"/>
      <w:jc w:val="center"/>
    </w:pPr>
    <w:rPr>
      <w:b/>
      <w:bCs/>
      <w:sz w:val="18"/>
      <w:szCs w:val="18"/>
    </w:rPr>
  </w:style>
  <w:style w:type="paragraph" w:customStyle="1" w:styleId="116">
    <w:name w:val="CB正文"/>
    <w:basedOn w:val="117"/>
    <w:autoRedefine/>
    <w:qFormat/>
    <w:uiPriority w:val="0"/>
    <w:pPr>
      <w:autoSpaceDE w:val="0"/>
      <w:autoSpaceDN w:val="0"/>
      <w:adjustRightInd w:val="0"/>
      <w:ind w:firstLine="420" w:firstLineChars="0"/>
    </w:pPr>
    <w:rPr>
      <w:rFonts w:hint="eastAsia"/>
      <w:color w:val="000000"/>
      <w:sz w:val="21"/>
      <w:szCs w:val="21"/>
    </w:rPr>
  </w:style>
  <w:style w:type="paragraph" w:customStyle="1" w:styleId="117">
    <w:name w:val="yt正文"/>
    <w:basedOn w:val="9"/>
    <w:next w:val="20"/>
    <w:autoRedefine/>
    <w:qFormat/>
    <w:uiPriority w:val="0"/>
    <w:pPr>
      <w:spacing w:line="360" w:lineRule="auto"/>
      <w:ind w:firstLine="200"/>
    </w:pPr>
    <w:rPr>
      <w:sz w:val="24"/>
    </w:rPr>
  </w:style>
  <w:style w:type="paragraph" w:customStyle="1" w:styleId="118">
    <w:name w:val="CB表头2"/>
    <w:basedOn w:val="116"/>
    <w:next w:val="116"/>
    <w:autoRedefine/>
    <w:qFormat/>
    <w:uiPriority w:val="0"/>
    <w:pPr>
      <w:snapToGrid w:val="0"/>
      <w:spacing w:line="240" w:lineRule="auto"/>
      <w:jc w:val="center"/>
    </w:pPr>
    <w:rPr>
      <w:b/>
      <w:color w:val="000000" w:themeColor="text1"/>
      <w14:textFill>
        <w14:solidFill>
          <w14:schemeClr w14:val="tx1"/>
        </w14:solidFill>
      </w14:textFill>
    </w:rPr>
  </w:style>
  <w:style w:type="paragraph" w:customStyle="1" w:styleId="119">
    <w:name w:val="正文(邵)"/>
    <w:basedOn w:val="1"/>
    <w:autoRedefine/>
    <w:qFormat/>
    <w:uiPriority w:val="0"/>
    <w:pPr>
      <w:widowControl/>
      <w:adjustRightInd w:val="0"/>
      <w:snapToGrid w:val="0"/>
      <w:spacing w:line="360" w:lineRule="auto"/>
      <w:ind w:firstLine="480"/>
      <w:jc w:val="left"/>
    </w:pPr>
    <w:rPr>
      <w:kern w:val="0"/>
      <w:sz w:val="24"/>
      <w:lang w:bidi="en-US"/>
    </w:rPr>
  </w:style>
  <w:style w:type="paragraph" w:customStyle="1" w:styleId="120">
    <w:name w:val="p0"/>
    <w:basedOn w:val="1"/>
    <w:autoRedefine/>
    <w:qFormat/>
    <w:uiPriority w:val="0"/>
    <w:pPr>
      <w:widowControl/>
    </w:pPr>
    <w:rPr>
      <w:rFonts w:hint="eastAsia"/>
    </w:rPr>
  </w:style>
  <w:style w:type="paragraph" w:customStyle="1" w:styleId="121">
    <w:name w:val="表头ck"/>
    <w:autoRedefine/>
    <w:qFormat/>
    <w:uiPriority w:val="0"/>
    <w:pPr>
      <w:widowControl w:val="0"/>
      <w:jc w:val="center"/>
    </w:pPr>
    <w:rPr>
      <w:rFonts w:ascii="Times New Roman" w:hAnsi="Times New Roman" w:eastAsia="宋体" w:cs="宋体"/>
      <w:color w:val="000000"/>
      <w:sz w:val="21"/>
      <w:szCs w:val="24"/>
      <w:lang w:val="en-US" w:eastAsia="zh-CN" w:bidi="ar-SA"/>
    </w:rPr>
  </w:style>
  <w:style w:type="paragraph" w:customStyle="1" w:styleId="122">
    <w:name w:val="0表格内容"/>
    <w:basedOn w:val="123"/>
    <w:autoRedefine/>
    <w:qFormat/>
    <w:uiPriority w:val="0"/>
    <w:pPr>
      <w:spacing w:line="240" w:lineRule="auto"/>
    </w:pPr>
  </w:style>
  <w:style w:type="paragraph" w:customStyle="1" w:styleId="123">
    <w:name w:val="B表内"/>
    <w:basedOn w:val="1"/>
    <w:autoRedefine/>
    <w:qFormat/>
    <w:uiPriority w:val="0"/>
    <w:pPr>
      <w:spacing w:line="0" w:lineRule="atLeast"/>
      <w:jc w:val="center"/>
    </w:pPr>
    <w:rPr>
      <w:rFonts w:ascii="Times New Roman" w:hAnsi="Times New Roman" w:eastAsia="宋体" w:cs="宋体"/>
      <w:szCs w:val="20"/>
    </w:rPr>
  </w:style>
  <w:style w:type="paragraph" w:customStyle="1" w:styleId="124">
    <w:name w:val="表格五号"/>
    <w:basedOn w:val="18"/>
    <w:autoRedefine/>
    <w:qFormat/>
    <w:uiPriority w:val="0"/>
    <w:pPr>
      <w:adjustRightInd w:val="0"/>
      <w:snapToGrid w:val="0"/>
      <w:spacing w:line="210" w:lineRule="atLeast"/>
      <w:jc w:val="center"/>
      <w:textAlignment w:val="baseline"/>
    </w:pPr>
    <w:rPr>
      <w:rFonts w:ascii="Times New Roman" w:hAnsi="Times New Roman"/>
      <w:kern w:val="0"/>
      <w:sz w:val="21"/>
    </w:rPr>
  </w:style>
  <w:style w:type="paragraph" w:customStyle="1" w:styleId="125">
    <w:name w:val="表格小五"/>
    <w:basedOn w:val="1"/>
    <w:autoRedefine/>
    <w:qFormat/>
    <w:uiPriority w:val="0"/>
    <w:pPr>
      <w:adjustRightInd w:val="0"/>
      <w:snapToGrid w:val="0"/>
      <w:spacing w:line="180" w:lineRule="atLeast"/>
      <w:jc w:val="center"/>
      <w:textAlignment w:val="baseline"/>
    </w:pPr>
    <w:rPr>
      <w:kern w:val="0"/>
      <w:sz w:val="18"/>
      <w:szCs w:val="20"/>
    </w:rPr>
  </w:style>
  <w:style w:type="paragraph" w:customStyle="1" w:styleId="126">
    <w:name w:val="正文123"/>
    <w:basedOn w:val="1"/>
    <w:next w:val="18"/>
    <w:autoRedefine/>
    <w:qFormat/>
    <w:uiPriority w:val="0"/>
    <w:pPr>
      <w:snapToGrid/>
      <w:spacing w:line="360" w:lineRule="auto"/>
      <w:ind w:firstLine="480" w:firstLineChars="200"/>
    </w:pPr>
    <w:rPr>
      <w:rFonts w:ascii="Times New Roman" w:hAnsi="Times New Roman" w:eastAsia="宋体"/>
      <w:sz w:val="24"/>
    </w:rPr>
  </w:style>
  <w:style w:type="paragraph" w:customStyle="1" w:styleId="127">
    <w:name w:val="五号表格"/>
    <w:basedOn w:val="1"/>
    <w:autoRedefine/>
    <w:qFormat/>
    <w:uiPriority w:val="0"/>
    <w:pPr>
      <w:jc w:val="center"/>
    </w:pPr>
    <w:rPr>
      <w:kern w:val="0"/>
    </w:rPr>
  </w:style>
  <w:style w:type="paragraph" w:customStyle="1" w:styleId="128">
    <w:name w:val="表格内容"/>
    <w:basedOn w:val="1"/>
    <w:autoRedefine/>
    <w:qFormat/>
    <w:uiPriority w:val="0"/>
    <w:pPr>
      <w:autoSpaceDE w:val="0"/>
      <w:autoSpaceDN w:val="0"/>
      <w:spacing w:line="240" w:lineRule="auto"/>
      <w:ind w:firstLine="0" w:firstLineChars="0"/>
      <w:jc w:val="center"/>
    </w:pPr>
    <w:rPr>
      <w:rFonts w:ascii="Times New Roman" w:hAnsi="Times New Roman"/>
      <w:kern w:val="0"/>
      <w:sz w:val="21"/>
      <w:szCs w:val="20"/>
    </w:rPr>
  </w:style>
  <w:style w:type="paragraph" w:customStyle="1" w:styleId="129">
    <w:name w:val="B正文"/>
    <w:basedOn w:val="1"/>
    <w:autoRedefine/>
    <w:qFormat/>
    <w:uiPriority w:val="0"/>
    <w:pPr>
      <w:spacing w:line="360" w:lineRule="auto"/>
      <w:ind w:firstLine="200" w:firstLineChars="200"/>
    </w:pPr>
    <w:rPr>
      <w:rFonts w:ascii="Times New Roman" w:hAnsi="Times New Roman" w:eastAsia="宋体" w:cs="Times New Roman"/>
      <w:kern w:val="0"/>
      <w:sz w:val="24"/>
      <w:szCs w:val="24"/>
    </w:rPr>
  </w:style>
  <w:style w:type="paragraph" w:customStyle="1" w:styleId="130">
    <w:name w:val="表格内文字"/>
    <w:basedOn w:val="49"/>
    <w:autoRedefine/>
    <w:qFormat/>
    <w:uiPriority w:val="0"/>
    <w:rPr>
      <w:sz w:val="21"/>
    </w:rPr>
  </w:style>
  <w:style w:type="paragraph" w:customStyle="1" w:styleId="131">
    <w:name w:val="表格内文字11111111111111"/>
    <w:basedOn w:val="1"/>
    <w:autoRedefine/>
    <w:qFormat/>
    <w:uiPriority w:val="0"/>
    <w:pPr>
      <w:adjustRightInd w:val="0"/>
      <w:snapToGrid w:val="0"/>
      <w:jc w:val="center"/>
      <w:textAlignment w:val="bottom"/>
    </w:pPr>
    <w:rPr>
      <w:rFonts w:hAnsi="宋体"/>
      <w:snapToGrid w:val="0"/>
      <w:color w:val="000000"/>
      <w:kern w:val="0"/>
    </w:rPr>
  </w:style>
  <w:style w:type="paragraph" w:customStyle="1" w:styleId="132">
    <w:name w:val="普通(网站)1"/>
    <w:basedOn w:val="1"/>
    <w:autoRedefine/>
    <w:qFormat/>
    <w:uiPriority w:val="0"/>
    <w:pPr>
      <w:spacing w:before="100" w:beforeAutospacing="1" w:after="100" w:afterAutospacing="1"/>
    </w:pPr>
    <w:rPr>
      <w:rFonts w:ascii="宋体" w:hAnsi="宋体" w:eastAsia="宋体" w:cs="宋体"/>
      <w:sz w:val="24"/>
    </w:rPr>
  </w:style>
  <w:style w:type="paragraph" w:customStyle="1" w:styleId="133">
    <w:name w:val="表中正文标题"/>
    <w:basedOn w:val="1"/>
    <w:autoRedefine/>
    <w:qFormat/>
    <w:uiPriority w:val="0"/>
    <w:pPr>
      <w:jc w:val="center"/>
    </w:pPr>
    <w:rPr>
      <w:rFonts w:hint="eastAsia"/>
      <w:spacing w:val="4"/>
    </w:rPr>
  </w:style>
  <w:style w:type="table" w:customStyle="1" w:styleId="134">
    <w:name w:val="Table Normal"/>
    <w:autoRedefine/>
    <w:unhideWhenUsed/>
    <w:qFormat/>
    <w:uiPriority w:val="0"/>
    <w:tblPr>
      <w:tblCellMar>
        <w:top w:w="0" w:type="dxa"/>
        <w:left w:w="0" w:type="dxa"/>
        <w:bottom w:w="0" w:type="dxa"/>
        <w:right w:w="0" w:type="dxa"/>
      </w:tblCellMar>
    </w:tblPr>
  </w:style>
  <w:style w:type="paragraph" w:customStyle="1" w:styleId="135">
    <w:name w:val="4表格内正文"/>
    <w:basedOn w:val="136"/>
    <w:autoRedefine/>
    <w:qFormat/>
    <w:uiPriority w:val="0"/>
    <w:pPr>
      <w:spacing w:line="240" w:lineRule="auto"/>
      <w:ind w:firstLine="0" w:firstLineChars="0"/>
      <w:jc w:val="center"/>
    </w:pPr>
  </w:style>
  <w:style w:type="paragraph" w:customStyle="1" w:styleId="136">
    <w:name w:val="4正文格式"/>
    <w:basedOn w:val="1"/>
    <w:autoRedefine/>
    <w:qFormat/>
    <w:uiPriority w:val="0"/>
    <w:pPr>
      <w:spacing w:line="360" w:lineRule="auto"/>
      <w:ind w:firstLine="200" w:firstLineChars="200"/>
      <w:jc w:val="left"/>
    </w:pPr>
  </w:style>
  <w:style w:type="character" w:customStyle="1" w:styleId="137">
    <w:name w:val="font141"/>
    <w:autoRedefine/>
    <w:qFormat/>
    <w:uiPriority w:val="0"/>
    <w:rPr>
      <w:rFonts w:hint="eastAsia" w:ascii="宋体" w:hAnsi="宋体" w:eastAsia="宋体" w:cs="宋体"/>
      <w:b/>
      <w:bCs/>
      <w:color w:val="000000"/>
      <w:sz w:val="20"/>
      <w:szCs w:val="20"/>
      <w:u w:val="none"/>
    </w:rPr>
  </w:style>
  <w:style w:type="paragraph" w:customStyle="1" w:styleId="138">
    <w:name w:val="Normal (Web)"/>
    <w:basedOn w:val="1"/>
    <w:autoRedefine/>
    <w:qFormat/>
    <w:uiPriority w:val="0"/>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14.jpeg"/><Relationship Id="rId25" Type="http://schemas.openxmlformats.org/officeDocument/2006/relationships/image" Target="media/image13.jpeg"/><Relationship Id="rId24" Type="http://schemas.openxmlformats.org/officeDocument/2006/relationships/image" Target="media/image12.jpeg"/><Relationship Id="rId23" Type="http://schemas.openxmlformats.org/officeDocument/2006/relationships/image" Target="media/image11.jpe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4AE6A-A232-4CD4-809A-3028A814DB1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45</Pages>
  <Words>2038</Words>
  <Characters>2517</Characters>
  <Lines>1</Lines>
  <Paragraphs>1</Paragraphs>
  <TotalTime>3</TotalTime>
  <ScaleCrop>false</ScaleCrop>
  <LinksUpToDate>false</LinksUpToDate>
  <CharactersWithSpaces>2609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2017-05-24T01:15:00Z</dcterms:created>
  <dc:creator>Administrator</dc:creator>
  <cp:lastModifiedBy>王雯</cp:lastModifiedBy>
  <cp:lastPrinted>2024-04-12T01:44:00Z</cp:lastPrinted>
  <dcterms:modified xsi:type="dcterms:W3CDTF">2026-07-01T00:47:02Z</dcterms:modified>
  <dc:title>建 设 项 目 竣 工 环 境 保 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A43E2A2008E64A0FB18BA092524C12CC_13</vt:lpwstr>
  </property>
  <property fmtid="{D5CDD505-2E9C-101B-9397-08002B2CF9AE}" pid="4" name="KSOTemplateDocerSaveRecord">
    <vt:lpwstr>eyJoZGlkIjoiMzMyZWYyNmZiMDRkMDc2ZjAwOTk3MmJhODNkZThjOGMiLCJ1c2VySWQiOiI0NDgwMzMzNjMifQ==</vt:lpwstr>
  </property>
</Properties>
</file>